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07:47:24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CKU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- 264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- 27</w:t>
      </w:r>
    </w:p>
    <w:p>
      <w:r>
        <w:t>Transport &amp; Miscellaneous</w:t>
      </w:r>
      <w:r>
        <w:tab/>
      </w:r>
      <w:r>
        <w:tab/>
        <w:t>- 660</w:t>
      </w:r>
    </w:p>
    <w:p>
      <w:r>
        <w:t>Total Price</w:t>
      </w:r>
      <w:r>
        <w:tab/>
      </w:r>
      <w:r>
        <w:tab/>
      </w:r>
      <w:r>
        <w:tab/>
      </w:r>
      <w:r>
        <w:tab/>
        <w:t>- 7788.0</w:t>
      </w:r>
    </w:p>
    <w:p>
      <w:r>
        <w:t>Previous Balance</w:t>
      </w:r>
      <w:r>
        <w:tab/>
      </w:r>
      <w:r>
        <w:tab/>
      </w:r>
      <w:r>
        <w:tab/>
        <w:t>- 25834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- 33622.0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14:01:01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13:59:45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E62DC4-8605-4F09-A199-98372774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2017-09-05T14:48:00Z</dcterms:created>
  <dcterms:modified xsi:type="dcterms:W3CDTF">2018-07-16T08:47:00Z</dcterms:modified>
</cp:coreProperties>
</file>