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1F4E79"/>
          <w:sz w:val="44"/>
        </w:rPr>
        <w:t>DEVOPS ENGINEERING &amp; CI/CD CONTAINERIZATION REPORT</w:t>
      </w:r>
    </w:p>
    <w:p>
      <w:pPr>
        <w:spacing w:before="0" w:after="560"/>
        <w:jc w:val="center"/>
      </w:pPr>
      <w:r>
        <w:rPr>
          <w:rFonts w:ascii="Calibri" w:hAnsi="Calibri"/>
          <w:color w:val="2F5597"/>
          <w:sz w:val="26"/>
        </w:rPr>
        <w:t>Automated Containerization, Layer Optimization, and Continuous Integration Pipeline for AgriGuard AI (Full-Plant Health Assessment System)</w:t>
      </w:r>
    </w:p>
    <w:tbl>
      <w:tblPr>
        <w:tblW w:type="auto" w:w="0"/>
        <w:jc w:val="center"/>
        <w:tblLook w:firstColumn="1" w:firstRow="1" w:lastColumn="0" w:lastRow="0" w:noHBand="0" w:noVBand="1" w:val="04A0"/>
      </w:tblPr>
      <w:tblGrid>
        <w:gridCol w:w="4680"/>
        <w:gridCol w:w="4680"/>
      </w:tblGrid>
      <w:tr>
        <w:tc>
          <w:tcPr>
            <w:tcW w:type="dxa" w:w="3168"/>
            <w:tcMar>
              <w:top w:w="60" w:type="dxa"/>
              <w:bottom w:w="60" w:type="dxa"/>
              <w:left w:w="80" w:type="dxa"/>
              <w:right w:w="80" w:type="dxa"/>
            </w:tcMar>
          </w:tcPr>
          <w:p>
            <w:pPr>
              <w:spacing w:after="40"/>
            </w:pPr>
            <w:r>
              <w:rPr>
                <w:rFonts w:ascii="Calibri" w:hAnsi="Calibri"/>
                <w:b/>
                <w:color w:val="1F4E79"/>
                <w:sz w:val="21"/>
              </w:rPr>
              <w:t>Domain &amp; Subject:</w:t>
            </w:r>
          </w:p>
        </w:tc>
        <w:tc>
          <w:tcPr>
            <w:tcW w:type="dxa" w:w="6192"/>
            <w:tcMar>
              <w:top w:w="60" w:type="dxa"/>
              <w:bottom w:w="60" w:type="dxa"/>
              <w:left w:w="80" w:type="dxa"/>
              <w:right w:w="80" w:type="dxa"/>
            </w:tcMar>
          </w:tcPr>
          <w:p>
            <w:pPr>
              <w:spacing w:after="40"/>
            </w:pPr>
            <w:r>
              <w:rPr>
                <w:rFonts w:ascii="Calibri" w:hAnsi="Calibri"/>
                <w:color w:val="262626"/>
                <w:sz w:val="21"/>
              </w:rPr>
              <w:t>DevOps / Continuous Integration &amp; Containerization</w:t>
            </w:r>
          </w:p>
        </w:tc>
      </w:tr>
      <w:tr>
        <w:tc>
          <w:tcPr>
            <w:tcW w:type="dxa" w:w="3168"/>
            <w:tcMar>
              <w:top w:w="60" w:type="dxa"/>
              <w:bottom w:w="60" w:type="dxa"/>
              <w:left w:w="80" w:type="dxa"/>
              <w:right w:w="80" w:type="dxa"/>
            </w:tcMar>
          </w:tcPr>
          <w:p>
            <w:pPr>
              <w:spacing w:after="40"/>
            </w:pPr>
            <w:r>
              <w:rPr>
                <w:rFonts w:ascii="Calibri" w:hAnsi="Calibri"/>
                <w:b/>
                <w:color w:val="1F4E79"/>
                <w:sz w:val="21"/>
              </w:rPr>
              <w:t>Project Name:</w:t>
            </w:r>
          </w:p>
        </w:tc>
        <w:tc>
          <w:tcPr>
            <w:tcW w:type="dxa" w:w="6192"/>
            <w:tcMar>
              <w:top w:w="60" w:type="dxa"/>
              <w:bottom w:w="60" w:type="dxa"/>
              <w:left w:w="80" w:type="dxa"/>
              <w:right w:w="80" w:type="dxa"/>
            </w:tcMar>
          </w:tcPr>
          <w:p>
            <w:pPr>
              <w:spacing w:after="40"/>
            </w:pPr>
            <w:r>
              <w:rPr>
                <w:rFonts w:ascii="Calibri" w:hAnsi="Calibri"/>
                <w:color w:val="262626"/>
                <w:sz w:val="21"/>
              </w:rPr>
              <w:t>AgriGuard AI - Full-Plant Health Assessment Platform</w:t>
            </w:r>
          </w:p>
        </w:tc>
      </w:tr>
      <w:tr>
        <w:tc>
          <w:tcPr>
            <w:tcW w:type="dxa" w:w="3168"/>
            <w:tcMar>
              <w:top w:w="60" w:type="dxa"/>
              <w:bottom w:w="60" w:type="dxa"/>
              <w:left w:w="80" w:type="dxa"/>
              <w:right w:w="80" w:type="dxa"/>
            </w:tcMar>
          </w:tcPr>
          <w:p>
            <w:pPr>
              <w:spacing w:after="40"/>
            </w:pPr>
            <w:r>
              <w:rPr>
                <w:rFonts w:ascii="Calibri" w:hAnsi="Calibri"/>
                <w:b/>
                <w:color w:val="1F4E79"/>
                <w:sz w:val="21"/>
              </w:rPr>
              <w:t>Repository URL:</w:t>
            </w:r>
          </w:p>
        </w:tc>
        <w:tc>
          <w:tcPr>
            <w:tcW w:type="dxa" w:w="6192"/>
            <w:tcMar>
              <w:top w:w="60" w:type="dxa"/>
              <w:bottom w:w="60" w:type="dxa"/>
              <w:left w:w="80" w:type="dxa"/>
              <w:right w:w="80" w:type="dxa"/>
            </w:tcMar>
          </w:tcPr>
          <w:p>
            <w:pPr>
              <w:spacing w:after="40"/>
            </w:pPr>
            <w:r>
              <w:rPr>
                <w:rFonts w:ascii="Calibri" w:hAnsi="Calibri"/>
                <w:color w:val="262626"/>
                <w:sz w:val="21"/>
              </w:rPr>
              <w:t>https://github.com/Raghukn21/ds.project.git</w:t>
            </w:r>
          </w:p>
        </w:tc>
      </w:tr>
      <w:tr>
        <w:tc>
          <w:tcPr>
            <w:tcW w:type="dxa" w:w="3168"/>
            <w:tcMar>
              <w:top w:w="60" w:type="dxa"/>
              <w:bottom w:w="60" w:type="dxa"/>
              <w:left w:w="80" w:type="dxa"/>
              <w:right w:w="80" w:type="dxa"/>
            </w:tcMar>
          </w:tcPr>
          <w:p>
            <w:pPr>
              <w:spacing w:after="40"/>
            </w:pPr>
            <w:r>
              <w:rPr>
                <w:rFonts w:ascii="Calibri" w:hAnsi="Calibri"/>
                <w:b/>
                <w:color w:val="1F4E79"/>
                <w:sz w:val="21"/>
              </w:rPr>
              <w:t>Target Platform:</w:t>
            </w:r>
          </w:p>
        </w:tc>
        <w:tc>
          <w:tcPr>
            <w:tcW w:type="dxa" w:w="6192"/>
            <w:tcMar>
              <w:top w:w="60" w:type="dxa"/>
              <w:bottom w:w="60" w:type="dxa"/>
              <w:left w:w="80" w:type="dxa"/>
              <w:right w:w="80" w:type="dxa"/>
            </w:tcMar>
          </w:tcPr>
          <w:p>
            <w:pPr>
              <w:spacing w:after="40"/>
            </w:pPr>
            <w:r>
              <w:rPr>
                <w:rFonts w:ascii="Calibri" w:hAnsi="Calibri"/>
                <w:color w:val="262626"/>
                <w:sz w:val="21"/>
              </w:rPr>
              <w:t>Docker Engine / Docker Compose / GitHub Actions CI</w:t>
            </w:r>
          </w:p>
        </w:tc>
      </w:tr>
      <w:tr>
        <w:tc>
          <w:tcPr>
            <w:tcW w:type="dxa" w:w="3168"/>
            <w:tcMar>
              <w:top w:w="60" w:type="dxa"/>
              <w:bottom w:w="60" w:type="dxa"/>
              <w:left w:w="80" w:type="dxa"/>
              <w:right w:w="80" w:type="dxa"/>
            </w:tcMar>
          </w:tcPr>
          <w:p>
            <w:pPr>
              <w:spacing w:after="40"/>
            </w:pPr>
            <w:r>
              <w:rPr>
                <w:rFonts w:ascii="Calibri" w:hAnsi="Calibri"/>
                <w:b/>
                <w:color w:val="1F4E79"/>
                <w:sz w:val="21"/>
              </w:rPr>
              <w:t>Deployment Environment:</w:t>
            </w:r>
          </w:p>
        </w:tc>
        <w:tc>
          <w:tcPr>
            <w:tcW w:type="dxa" w:w="6192"/>
            <w:tcMar>
              <w:top w:w="60" w:type="dxa"/>
              <w:bottom w:w="60" w:type="dxa"/>
              <w:left w:w="80" w:type="dxa"/>
              <w:right w:w="80" w:type="dxa"/>
            </w:tcMar>
          </w:tcPr>
          <w:p>
            <w:pPr>
              <w:spacing w:after="40"/>
            </w:pPr>
            <w:r>
              <w:rPr>
                <w:rFonts w:ascii="Calibri" w:hAnsi="Calibri"/>
                <w:color w:val="262626"/>
                <w:sz w:val="21"/>
              </w:rPr>
              <w:t>Linux Container (Debian Slim / Python 3.9 / FastAPI)</w:t>
            </w:r>
          </w:p>
        </w:tc>
      </w:tr>
      <w:tr>
        <w:tc>
          <w:tcPr>
            <w:tcW w:type="dxa" w:w="3168"/>
            <w:tcMar>
              <w:top w:w="60" w:type="dxa"/>
              <w:bottom w:w="60" w:type="dxa"/>
              <w:left w:w="80" w:type="dxa"/>
              <w:right w:w="80" w:type="dxa"/>
            </w:tcMar>
          </w:tcPr>
          <w:p>
            <w:pPr>
              <w:spacing w:after="40"/>
            </w:pPr>
            <w:r>
              <w:rPr>
                <w:rFonts w:ascii="Calibri" w:hAnsi="Calibri"/>
                <w:b/>
                <w:color w:val="1F4E79"/>
                <w:sz w:val="21"/>
              </w:rPr>
              <w:t>Publication Date:</w:t>
            </w:r>
          </w:p>
        </w:tc>
        <w:tc>
          <w:tcPr>
            <w:tcW w:type="dxa" w:w="6192"/>
            <w:tcMar>
              <w:top w:w="60" w:type="dxa"/>
              <w:bottom w:w="60" w:type="dxa"/>
              <w:left w:w="80" w:type="dxa"/>
              <w:right w:w="80" w:type="dxa"/>
            </w:tcMar>
          </w:tcPr>
          <w:p>
            <w:pPr>
              <w:spacing w:after="40"/>
            </w:pPr>
            <w:r>
              <w:rPr>
                <w:rFonts w:ascii="Calibri" w:hAnsi="Calibri"/>
                <w:color w:val="262626"/>
                <w:sz w:val="21"/>
              </w:rPr>
              <w:t>September 2026</w:t>
            </w:r>
          </w:p>
        </w:tc>
      </w:tr>
    </w:tbl>
    <w:p>
      <w:r>
        <w:br w:type="page"/>
      </w:r>
    </w:p>
    <w:p>
      <w:pPr>
        <w:keepNext/>
        <w:spacing w:before="360" w:after="120"/>
      </w:pPr>
      <w:r>
        <w:rPr>
          <w:rFonts w:ascii="Arial" w:hAnsi="Arial"/>
          <w:b/>
          <w:color w:val="1F4E79"/>
          <w:sz w:val="32"/>
        </w:rPr>
        <w:t>TABLE OF CONTENTS</w:t>
      </w:r>
    </w:p>
    <w:tbl>
      <w:tblPr>
        <w:tblW w:type="auto" w:w="0"/>
        <w:jc w:val="center"/>
        <w:tblLook w:firstColumn="1" w:firstRow="1" w:lastColumn="0" w:lastRow="0" w:noHBand="0" w:noVBand="1" w:val="04A0"/>
      </w:tblPr>
      <w:tblGrid>
        <w:gridCol w:w="4680"/>
        <w:gridCol w:w="4680"/>
      </w:tblGrid>
      <w:tr>
        <w:tc>
          <w:tcPr>
            <w:tcW w:type="dxa" w:w="8352"/>
            <w:tcMar>
              <w:top w:w="30" w:type="dxa"/>
              <w:bottom w:w="30" w:type="dxa"/>
              <w:left w:w="40" w:type="dxa"/>
              <w:right w:w="40" w:type="dxa"/>
            </w:tcMar>
          </w:tcPr>
          <w:p>
            <w:pPr>
              <w:spacing w:after="20"/>
            </w:pPr>
            <w:r>
              <w:rPr>
                <w:rFonts w:ascii="Calibri" w:hAnsi="Calibri"/>
                <w:b/>
                <w:color w:val="1F4E79"/>
                <w:sz w:val="21"/>
              </w:rPr>
              <w:t>1. Introduction</w:t>
            </w:r>
          </w:p>
        </w:tc>
        <w:tc>
          <w:tcPr>
            <w:tcW w:type="dxa" w:w="1008"/>
            <w:tcMar>
              <w:top w:w="30" w:type="dxa"/>
              <w:bottom w:w="30" w:type="dxa"/>
              <w:left w:w="40" w:type="dxa"/>
              <w:right w:w="40" w:type="dxa"/>
            </w:tcMar>
          </w:tcPr>
          <w:p>
            <w:pPr>
              <w:spacing w:after="20"/>
              <w:jc w:val="right"/>
            </w:pPr>
            <w:r>
              <w:rPr>
                <w:rFonts w:ascii="Calibri" w:hAnsi="Calibri"/>
                <w:color w:val="595959"/>
                <w:sz w:val="21"/>
              </w:rPr>
              <w:t>3</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1.1 Project Background &amp; Domain Context</w:t>
            </w:r>
          </w:p>
        </w:tc>
        <w:tc>
          <w:tcPr>
            <w:tcW w:type="dxa" w:w="1008"/>
            <w:tcMar>
              <w:top w:w="30" w:type="dxa"/>
              <w:bottom w:w="30" w:type="dxa"/>
              <w:left w:w="40" w:type="dxa"/>
              <w:right w:w="40" w:type="dxa"/>
            </w:tcMar>
          </w:tcPr>
          <w:p>
            <w:pPr>
              <w:spacing w:after="20"/>
              <w:jc w:val="right"/>
            </w:pPr>
            <w:r>
              <w:rPr>
                <w:rFonts w:ascii="Calibri" w:hAnsi="Calibri"/>
                <w:color w:val="595959"/>
                <w:sz w:val="21"/>
              </w:rPr>
              <w:t>3</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1.2 The DevOps Problem Statement in ML Systems</w:t>
            </w:r>
          </w:p>
        </w:tc>
        <w:tc>
          <w:tcPr>
            <w:tcW w:type="dxa" w:w="1008"/>
            <w:tcMar>
              <w:top w:w="30" w:type="dxa"/>
              <w:bottom w:w="30" w:type="dxa"/>
              <w:left w:w="40" w:type="dxa"/>
              <w:right w:w="40" w:type="dxa"/>
            </w:tcMar>
          </w:tcPr>
          <w:p>
            <w:pPr>
              <w:spacing w:after="20"/>
              <w:jc w:val="right"/>
            </w:pPr>
            <w:r>
              <w:rPr>
                <w:rFonts w:ascii="Calibri" w:hAnsi="Calibri"/>
                <w:color w:val="595959"/>
                <w:sz w:val="21"/>
              </w:rPr>
              <w:t>3</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1.3 Project Goals &amp; DevOps Objectives</w:t>
            </w:r>
          </w:p>
        </w:tc>
        <w:tc>
          <w:tcPr>
            <w:tcW w:type="dxa" w:w="1008"/>
            <w:tcMar>
              <w:top w:w="30" w:type="dxa"/>
              <w:bottom w:w="30" w:type="dxa"/>
              <w:left w:w="40" w:type="dxa"/>
              <w:right w:w="40" w:type="dxa"/>
            </w:tcMar>
          </w:tcPr>
          <w:p>
            <w:pPr>
              <w:spacing w:after="20"/>
              <w:jc w:val="right"/>
            </w:pPr>
            <w:r>
              <w:rPr>
                <w:rFonts w:ascii="Calibri" w:hAnsi="Calibri"/>
                <w:color w:val="595959"/>
                <w:sz w:val="21"/>
              </w:rPr>
              <w:t>4</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1.4 Scope and Deliverables</w:t>
            </w:r>
          </w:p>
        </w:tc>
        <w:tc>
          <w:tcPr>
            <w:tcW w:type="dxa" w:w="1008"/>
            <w:tcMar>
              <w:top w:w="30" w:type="dxa"/>
              <w:bottom w:w="30" w:type="dxa"/>
              <w:left w:w="40" w:type="dxa"/>
              <w:right w:w="40" w:type="dxa"/>
            </w:tcMar>
          </w:tcPr>
          <w:p>
            <w:pPr>
              <w:spacing w:after="20"/>
              <w:jc w:val="right"/>
            </w:pPr>
            <w:r>
              <w:rPr>
                <w:rFonts w:ascii="Calibri" w:hAnsi="Calibri"/>
                <w:color w:val="595959"/>
                <w:sz w:val="21"/>
              </w:rPr>
              <w:t>4</w:t>
            </w:r>
          </w:p>
        </w:tc>
      </w:tr>
      <w:tr>
        <w:tc>
          <w:tcPr>
            <w:tcW w:type="dxa" w:w="8352"/>
            <w:tcMar>
              <w:top w:w="30" w:type="dxa"/>
              <w:bottom w:w="30" w:type="dxa"/>
              <w:left w:w="40" w:type="dxa"/>
              <w:right w:w="40" w:type="dxa"/>
            </w:tcMar>
          </w:tcPr>
          <w:p>
            <w:pPr>
              <w:spacing w:after="20"/>
            </w:pPr>
            <w:r>
              <w:rPr>
                <w:rFonts w:ascii="Calibri" w:hAnsi="Calibri"/>
                <w:b/>
                <w:color w:val="1F4E79"/>
                <w:sz w:val="21"/>
              </w:rPr>
              <w:t>2. Literature Survey and Technologies</w:t>
            </w:r>
          </w:p>
        </w:tc>
        <w:tc>
          <w:tcPr>
            <w:tcW w:type="dxa" w:w="1008"/>
            <w:tcMar>
              <w:top w:w="30" w:type="dxa"/>
              <w:bottom w:w="30" w:type="dxa"/>
              <w:left w:w="40" w:type="dxa"/>
              <w:right w:w="40" w:type="dxa"/>
            </w:tcMar>
          </w:tcPr>
          <w:p>
            <w:pPr>
              <w:spacing w:after="20"/>
              <w:jc w:val="right"/>
            </w:pPr>
            <w:r>
              <w:rPr>
                <w:rFonts w:ascii="Calibri" w:hAnsi="Calibri"/>
                <w:color w:val="595959"/>
                <w:sz w:val="21"/>
              </w:rPr>
              <w:t>5</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2.1 Evolutionary Paradigm: From Monoliths to Containerized DevOps</w:t>
            </w:r>
          </w:p>
        </w:tc>
        <w:tc>
          <w:tcPr>
            <w:tcW w:type="dxa" w:w="1008"/>
            <w:tcMar>
              <w:top w:w="30" w:type="dxa"/>
              <w:bottom w:w="30" w:type="dxa"/>
              <w:left w:w="40" w:type="dxa"/>
              <w:right w:w="40" w:type="dxa"/>
            </w:tcMar>
          </w:tcPr>
          <w:p>
            <w:pPr>
              <w:spacing w:after="20"/>
              <w:jc w:val="right"/>
            </w:pPr>
            <w:r>
              <w:rPr>
                <w:rFonts w:ascii="Calibri" w:hAnsi="Calibri"/>
                <w:color w:val="595959"/>
                <w:sz w:val="21"/>
              </w:rPr>
              <w:t>5</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2.2 Containerization vs. Traditional Virtual Machines</w:t>
            </w:r>
          </w:p>
        </w:tc>
        <w:tc>
          <w:tcPr>
            <w:tcW w:type="dxa" w:w="1008"/>
            <w:tcMar>
              <w:top w:w="30" w:type="dxa"/>
              <w:bottom w:w="30" w:type="dxa"/>
              <w:left w:w="40" w:type="dxa"/>
              <w:right w:w="40" w:type="dxa"/>
            </w:tcMar>
          </w:tcPr>
          <w:p>
            <w:pPr>
              <w:spacing w:after="20"/>
              <w:jc w:val="right"/>
            </w:pPr>
            <w:r>
              <w:rPr>
                <w:rFonts w:ascii="Calibri" w:hAnsi="Calibri"/>
                <w:color w:val="595959"/>
                <w:sz w:val="21"/>
              </w:rPr>
              <w:t>5</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2.3 Automated CI/CD Pipelines in Modern Engineering</w:t>
            </w:r>
          </w:p>
        </w:tc>
        <w:tc>
          <w:tcPr>
            <w:tcW w:type="dxa" w:w="1008"/>
            <w:tcMar>
              <w:top w:w="30" w:type="dxa"/>
              <w:bottom w:w="30" w:type="dxa"/>
              <w:left w:w="40" w:type="dxa"/>
              <w:right w:w="40" w:type="dxa"/>
            </w:tcMar>
          </w:tcPr>
          <w:p>
            <w:pPr>
              <w:spacing w:after="20"/>
              <w:jc w:val="right"/>
            </w:pPr>
            <w:r>
              <w:rPr>
                <w:rFonts w:ascii="Calibri" w:hAnsi="Calibri"/>
                <w:color w:val="595959"/>
                <w:sz w:val="21"/>
              </w:rPr>
              <w:t>6</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2.4 Comprehensive Technology Stack</w:t>
            </w:r>
          </w:p>
        </w:tc>
        <w:tc>
          <w:tcPr>
            <w:tcW w:type="dxa" w:w="1008"/>
            <w:tcMar>
              <w:top w:w="30" w:type="dxa"/>
              <w:bottom w:w="30" w:type="dxa"/>
              <w:left w:w="40" w:type="dxa"/>
              <w:right w:w="40" w:type="dxa"/>
            </w:tcMar>
          </w:tcPr>
          <w:p>
            <w:pPr>
              <w:spacing w:after="20"/>
              <w:jc w:val="right"/>
            </w:pPr>
            <w:r>
              <w:rPr>
                <w:rFonts w:ascii="Calibri" w:hAnsi="Calibri"/>
                <w:color w:val="595959"/>
                <w:sz w:val="21"/>
              </w:rPr>
              <w:t>6</w:t>
            </w:r>
          </w:p>
        </w:tc>
      </w:tr>
      <w:tr>
        <w:tc>
          <w:tcPr>
            <w:tcW w:type="dxa" w:w="8352"/>
            <w:tcMar>
              <w:top w:w="30" w:type="dxa"/>
              <w:bottom w:w="30" w:type="dxa"/>
              <w:left w:w="40" w:type="dxa"/>
              <w:right w:w="40" w:type="dxa"/>
            </w:tcMar>
          </w:tcPr>
          <w:p>
            <w:pPr>
              <w:spacing w:after="20"/>
            </w:pPr>
            <w:r>
              <w:rPr>
                <w:rFonts w:ascii="Calibri" w:hAnsi="Calibri"/>
                <w:b/>
                <w:color w:val="1F4E79"/>
                <w:sz w:val="21"/>
              </w:rPr>
              <w:t>3. Methodology</w:t>
            </w:r>
          </w:p>
        </w:tc>
        <w:tc>
          <w:tcPr>
            <w:tcW w:type="dxa" w:w="1008"/>
            <w:tcMar>
              <w:top w:w="30" w:type="dxa"/>
              <w:bottom w:w="30" w:type="dxa"/>
              <w:left w:w="40" w:type="dxa"/>
              <w:right w:w="40" w:type="dxa"/>
            </w:tcMar>
          </w:tcPr>
          <w:p>
            <w:pPr>
              <w:spacing w:after="20"/>
              <w:jc w:val="right"/>
            </w:pPr>
            <w:r>
              <w:rPr>
                <w:rFonts w:ascii="Calibri" w:hAnsi="Calibri"/>
                <w:color w:val="595959"/>
                <w:sz w:val="21"/>
              </w:rPr>
              <w:t>8</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3.1 DevOps Lifecycle Strategy</w:t>
            </w:r>
          </w:p>
        </w:tc>
        <w:tc>
          <w:tcPr>
            <w:tcW w:type="dxa" w:w="1008"/>
            <w:tcMar>
              <w:top w:w="30" w:type="dxa"/>
              <w:bottom w:w="30" w:type="dxa"/>
              <w:left w:w="40" w:type="dxa"/>
              <w:right w:w="40" w:type="dxa"/>
            </w:tcMar>
          </w:tcPr>
          <w:p>
            <w:pPr>
              <w:spacing w:after="20"/>
              <w:jc w:val="right"/>
            </w:pPr>
            <w:r>
              <w:rPr>
                <w:rFonts w:ascii="Calibri" w:hAnsi="Calibri"/>
                <w:color w:val="595959"/>
                <w:sz w:val="21"/>
              </w:rPr>
              <w:t>8</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3.2 Version Control &amp; Trunk-Based Git Workflow</w:t>
            </w:r>
          </w:p>
        </w:tc>
        <w:tc>
          <w:tcPr>
            <w:tcW w:type="dxa" w:w="1008"/>
            <w:tcMar>
              <w:top w:w="30" w:type="dxa"/>
              <w:bottom w:w="30" w:type="dxa"/>
              <w:left w:w="40" w:type="dxa"/>
              <w:right w:w="40" w:type="dxa"/>
            </w:tcMar>
          </w:tcPr>
          <w:p>
            <w:pPr>
              <w:spacing w:after="20"/>
              <w:jc w:val="right"/>
            </w:pPr>
            <w:r>
              <w:rPr>
                <w:rFonts w:ascii="Calibri" w:hAnsi="Calibri"/>
                <w:color w:val="595959"/>
                <w:sz w:val="21"/>
              </w:rPr>
              <w:t>8</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3.3 Container Architecture &amp; Build Layer Optimization</w:t>
            </w:r>
          </w:p>
        </w:tc>
        <w:tc>
          <w:tcPr>
            <w:tcW w:type="dxa" w:w="1008"/>
            <w:tcMar>
              <w:top w:w="30" w:type="dxa"/>
              <w:bottom w:w="30" w:type="dxa"/>
              <w:left w:w="40" w:type="dxa"/>
              <w:right w:w="40" w:type="dxa"/>
            </w:tcMar>
          </w:tcPr>
          <w:p>
            <w:pPr>
              <w:spacing w:after="20"/>
              <w:jc w:val="right"/>
            </w:pPr>
            <w:r>
              <w:rPr>
                <w:rFonts w:ascii="Calibri" w:hAnsi="Calibri"/>
                <w:color w:val="595959"/>
                <w:sz w:val="21"/>
              </w:rPr>
              <w:t>9</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3.4 Image Footprint &amp; Wheel Dependency Optimization</w:t>
            </w:r>
          </w:p>
        </w:tc>
        <w:tc>
          <w:tcPr>
            <w:tcW w:type="dxa" w:w="1008"/>
            <w:tcMar>
              <w:top w:w="30" w:type="dxa"/>
              <w:bottom w:w="30" w:type="dxa"/>
              <w:left w:w="40" w:type="dxa"/>
              <w:right w:w="40" w:type="dxa"/>
            </w:tcMar>
          </w:tcPr>
          <w:p>
            <w:pPr>
              <w:spacing w:after="20"/>
              <w:jc w:val="right"/>
            </w:pPr>
            <w:r>
              <w:rPr>
                <w:rFonts w:ascii="Calibri" w:hAnsi="Calibri"/>
                <w:color w:val="595959"/>
                <w:sz w:val="21"/>
              </w:rPr>
              <w:t>9</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3.5 Automated Verification &amp; Smoke Testing Methodology</w:t>
            </w:r>
          </w:p>
        </w:tc>
        <w:tc>
          <w:tcPr>
            <w:tcW w:type="dxa" w:w="1008"/>
            <w:tcMar>
              <w:top w:w="30" w:type="dxa"/>
              <w:bottom w:w="30" w:type="dxa"/>
              <w:left w:w="40" w:type="dxa"/>
              <w:right w:w="40" w:type="dxa"/>
            </w:tcMar>
          </w:tcPr>
          <w:p>
            <w:pPr>
              <w:spacing w:after="20"/>
              <w:jc w:val="right"/>
            </w:pPr>
            <w:r>
              <w:rPr>
                <w:rFonts w:ascii="Calibri" w:hAnsi="Calibri"/>
                <w:color w:val="595959"/>
                <w:sz w:val="21"/>
              </w:rPr>
              <w:t>10</w:t>
            </w:r>
          </w:p>
        </w:tc>
      </w:tr>
      <w:tr>
        <w:tc>
          <w:tcPr>
            <w:tcW w:type="dxa" w:w="8352"/>
            <w:tcMar>
              <w:top w:w="30" w:type="dxa"/>
              <w:bottom w:w="30" w:type="dxa"/>
              <w:left w:w="40" w:type="dxa"/>
              <w:right w:w="40" w:type="dxa"/>
            </w:tcMar>
          </w:tcPr>
          <w:p>
            <w:pPr>
              <w:spacing w:after="20"/>
            </w:pPr>
            <w:r>
              <w:rPr>
                <w:rFonts w:ascii="Calibri" w:hAnsi="Calibri"/>
                <w:b/>
                <w:color w:val="1F4E79"/>
                <w:sz w:val="21"/>
              </w:rPr>
              <w:t>4. System Design</w:t>
            </w:r>
          </w:p>
        </w:tc>
        <w:tc>
          <w:tcPr>
            <w:tcW w:type="dxa" w:w="1008"/>
            <w:tcMar>
              <w:top w:w="30" w:type="dxa"/>
              <w:bottom w:w="30" w:type="dxa"/>
              <w:left w:w="40" w:type="dxa"/>
              <w:right w:w="40" w:type="dxa"/>
            </w:tcMar>
          </w:tcPr>
          <w:p>
            <w:pPr>
              <w:spacing w:after="20"/>
              <w:jc w:val="right"/>
            </w:pPr>
            <w:r>
              <w:rPr>
                <w:rFonts w:ascii="Calibri" w:hAnsi="Calibri"/>
                <w:color w:val="595959"/>
                <w:sz w:val="21"/>
              </w:rPr>
              <w:t>11</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4.1 High-Level DevOps Architecture &amp; Flow</w:t>
            </w:r>
          </w:p>
        </w:tc>
        <w:tc>
          <w:tcPr>
            <w:tcW w:type="dxa" w:w="1008"/>
            <w:tcMar>
              <w:top w:w="30" w:type="dxa"/>
              <w:bottom w:w="30" w:type="dxa"/>
              <w:left w:w="40" w:type="dxa"/>
              <w:right w:w="40" w:type="dxa"/>
            </w:tcMar>
          </w:tcPr>
          <w:p>
            <w:pPr>
              <w:spacing w:after="20"/>
              <w:jc w:val="right"/>
            </w:pPr>
            <w:r>
              <w:rPr>
                <w:rFonts w:ascii="Calibri" w:hAnsi="Calibri"/>
                <w:color w:val="595959"/>
                <w:sz w:val="21"/>
              </w:rPr>
              <w:t>11</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4.2 Container Topology &amp; Port Mapping Architecture</w:t>
            </w:r>
          </w:p>
        </w:tc>
        <w:tc>
          <w:tcPr>
            <w:tcW w:type="dxa" w:w="1008"/>
            <w:tcMar>
              <w:top w:w="30" w:type="dxa"/>
              <w:bottom w:w="30" w:type="dxa"/>
              <w:left w:w="40" w:type="dxa"/>
              <w:right w:w="40" w:type="dxa"/>
            </w:tcMar>
          </w:tcPr>
          <w:p>
            <w:pPr>
              <w:spacing w:after="20"/>
              <w:jc w:val="right"/>
            </w:pPr>
            <w:r>
              <w:rPr>
                <w:rFonts w:ascii="Calibri" w:hAnsi="Calibri"/>
                <w:color w:val="595959"/>
                <w:sz w:val="21"/>
              </w:rPr>
              <w:t>12</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4.3 GitHub Actions Workflow Architecture</w:t>
            </w:r>
          </w:p>
        </w:tc>
        <w:tc>
          <w:tcPr>
            <w:tcW w:type="dxa" w:w="1008"/>
            <w:tcMar>
              <w:top w:w="30" w:type="dxa"/>
              <w:bottom w:w="30" w:type="dxa"/>
              <w:left w:w="40" w:type="dxa"/>
              <w:right w:w="40" w:type="dxa"/>
            </w:tcMar>
          </w:tcPr>
          <w:p>
            <w:pPr>
              <w:spacing w:after="20"/>
              <w:jc w:val="right"/>
            </w:pPr>
            <w:r>
              <w:rPr>
                <w:rFonts w:ascii="Calibri" w:hAnsi="Calibri"/>
                <w:color w:val="595959"/>
                <w:sz w:val="21"/>
              </w:rPr>
              <w:t>12</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4.4 Context Isolation &amp; .dockerignore Design</w:t>
            </w:r>
          </w:p>
        </w:tc>
        <w:tc>
          <w:tcPr>
            <w:tcW w:type="dxa" w:w="1008"/>
            <w:tcMar>
              <w:top w:w="30" w:type="dxa"/>
              <w:bottom w:w="30" w:type="dxa"/>
              <w:left w:w="40" w:type="dxa"/>
              <w:right w:w="40" w:type="dxa"/>
            </w:tcMar>
          </w:tcPr>
          <w:p>
            <w:pPr>
              <w:spacing w:after="20"/>
              <w:jc w:val="right"/>
            </w:pPr>
            <w:r>
              <w:rPr>
                <w:rFonts w:ascii="Calibri" w:hAnsi="Calibri"/>
                <w:color w:val="595959"/>
                <w:sz w:val="21"/>
              </w:rPr>
              <w:t>13</w:t>
            </w:r>
          </w:p>
        </w:tc>
      </w:tr>
      <w:tr>
        <w:tc>
          <w:tcPr>
            <w:tcW w:type="dxa" w:w="8352"/>
            <w:tcMar>
              <w:top w:w="30" w:type="dxa"/>
              <w:bottom w:w="30" w:type="dxa"/>
              <w:left w:w="40" w:type="dxa"/>
              <w:right w:w="40" w:type="dxa"/>
            </w:tcMar>
          </w:tcPr>
          <w:p>
            <w:pPr>
              <w:spacing w:after="20"/>
            </w:pPr>
            <w:r>
              <w:rPr>
                <w:rFonts w:ascii="Calibri" w:hAnsi="Calibri"/>
                <w:b/>
                <w:color w:val="1F4E79"/>
                <w:sz w:val="21"/>
              </w:rPr>
              <w:t>5. Implementation</w:t>
            </w:r>
          </w:p>
        </w:tc>
        <w:tc>
          <w:tcPr>
            <w:tcW w:type="dxa" w:w="1008"/>
            <w:tcMar>
              <w:top w:w="30" w:type="dxa"/>
              <w:bottom w:w="30" w:type="dxa"/>
              <w:left w:w="40" w:type="dxa"/>
              <w:right w:w="40" w:type="dxa"/>
            </w:tcMar>
          </w:tcPr>
          <w:p>
            <w:pPr>
              <w:spacing w:after="20"/>
              <w:jc w:val="right"/>
            </w:pPr>
            <w:r>
              <w:rPr>
                <w:rFonts w:ascii="Calibri" w:hAnsi="Calibri"/>
                <w:color w:val="595959"/>
                <w:sz w:val="21"/>
              </w:rPr>
              <w:t>14</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5.1 Git Repository Initialization and Versioning</w:t>
            </w:r>
          </w:p>
        </w:tc>
        <w:tc>
          <w:tcPr>
            <w:tcW w:type="dxa" w:w="1008"/>
            <w:tcMar>
              <w:top w:w="30" w:type="dxa"/>
              <w:bottom w:w="30" w:type="dxa"/>
              <w:left w:w="40" w:type="dxa"/>
              <w:right w:w="40" w:type="dxa"/>
            </w:tcMar>
          </w:tcPr>
          <w:p>
            <w:pPr>
              <w:spacing w:after="20"/>
              <w:jc w:val="right"/>
            </w:pPr>
            <w:r>
              <w:rPr>
                <w:rFonts w:ascii="Calibri" w:hAnsi="Calibri"/>
                <w:color w:val="595959"/>
                <w:sz w:val="21"/>
              </w:rPr>
              <w:t>14</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5.2 Dockerfile Construction &amp; Layer Caching Strategy</w:t>
            </w:r>
          </w:p>
        </w:tc>
        <w:tc>
          <w:tcPr>
            <w:tcW w:type="dxa" w:w="1008"/>
            <w:tcMar>
              <w:top w:w="30" w:type="dxa"/>
              <w:bottom w:w="30" w:type="dxa"/>
              <w:left w:w="40" w:type="dxa"/>
              <w:right w:w="40" w:type="dxa"/>
            </w:tcMar>
          </w:tcPr>
          <w:p>
            <w:pPr>
              <w:spacing w:after="20"/>
              <w:jc w:val="right"/>
            </w:pPr>
            <w:r>
              <w:rPr>
                <w:rFonts w:ascii="Calibri" w:hAnsi="Calibri"/>
                <w:color w:val="595959"/>
                <w:sz w:val="21"/>
              </w:rPr>
              <w:t>14</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5.3 Multi-Container Orchestration via Docker Compose</w:t>
            </w:r>
          </w:p>
        </w:tc>
        <w:tc>
          <w:tcPr>
            <w:tcW w:type="dxa" w:w="1008"/>
            <w:tcMar>
              <w:top w:w="30" w:type="dxa"/>
              <w:bottom w:w="30" w:type="dxa"/>
              <w:left w:w="40" w:type="dxa"/>
              <w:right w:w="40" w:type="dxa"/>
            </w:tcMar>
          </w:tcPr>
          <w:p>
            <w:pPr>
              <w:spacing w:after="20"/>
              <w:jc w:val="right"/>
            </w:pPr>
            <w:r>
              <w:rPr>
                <w:rFonts w:ascii="Calibri" w:hAnsi="Calibri"/>
                <w:color w:val="595959"/>
                <w:sz w:val="21"/>
              </w:rPr>
              <w:t>16</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5.4 GitHub Actions CI/CD Pipeline Implementation</w:t>
            </w:r>
          </w:p>
        </w:tc>
        <w:tc>
          <w:tcPr>
            <w:tcW w:type="dxa" w:w="1008"/>
            <w:tcMar>
              <w:top w:w="30" w:type="dxa"/>
              <w:bottom w:w="30" w:type="dxa"/>
              <w:left w:w="40" w:type="dxa"/>
              <w:right w:w="40" w:type="dxa"/>
            </w:tcMar>
          </w:tcPr>
          <w:p>
            <w:pPr>
              <w:spacing w:after="20"/>
              <w:jc w:val="right"/>
            </w:pPr>
            <w:r>
              <w:rPr>
                <w:rFonts w:ascii="Calibri" w:hAnsi="Calibri"/>
                <w:color w:val="595959"/>
                <w:sz w:val="21"/>
              </w:rPr>
              <w:t>17</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5.5 Engineering Challenges, Root Cause Analysis &amp; Resolutions</w:t>
            </w:r>
          </w:p>
        </w:tc>
        <w:tc>
          <w:tcPr>
            <w:tcW w:type="dxa" w:w="1008"/>
            <w:tcMar>
              <w:top w:w="30" w:type="dxa"/>
              <w:bottom w:w="30" w:type="dxa"/>
              <w:left w:w="40" w:type="dxa"/>
              <w:right w:w="40" w:type="dxa"/>
            </w:tcMar>
          </w:tcPr>
          <w:p>
            <w:pPr>
              <w:spacing w:after="20"/>
              <w:jc w:val="right"/>
            </w:pPr>
            <w:r>
              <w:rPr>
                <w:rFonts w:ascii="Calibri" w:hAnsi="Calibri"/>
                <w:color w:val="595959"/>
                <w:sz w:val="21"/>
              </w:rPr>
              <w:t>18</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5.6 Verification, Health Probes &amp; Endpoint Validation</w:t>
            </w:r>
          </w:p>
        </w:tc>
        <w:tc>
          <w:tcPr>
            <w:tcW w:type="dxa" w:w="1008"/>
            <w:tcMar>
              <w:top w:w="30" w:type="dxa"/>
              <w:bottom w:w="30" w:type="dxa"/>
              <w:left w:w="40" w:type="dxa"/>
              <w:right w:w="40" w:type="dxa"/>
            </w:tcMar>
          </w:tcPr>
          <w:p>
            <w:pPr>
              <w:spacing w:after="20"/>
              <w:jc w:val="right"/>
            </w:pPr>
            <w:r>
              <w:rPr>
                <w:rFonts w:ascii="Calibri" w:hAnsi="Calibri"/>
                <w:color w:val="595959"/>
                <w:sz w:val="21"/>
              </w:rPr>
              <w:t>20</w:t>
            </w:r>
          </w:p>
        </w:tc>
      </w:tr>
      <w:tr>
        <w:tc>
          <w:tcPr>
            <w:tcW w:type="dxa" w:w="8352"/>
            <w:tcMar>
              <w:top w:w="30" w:type="dxa"/>
              <w:bottom w:w="30" w:type="dxa"/>
              <w:left w:w="40" w:type="dxa"/>
              <w:right w:w="40" w:type="dxa"/>
            </w:tcMar>
          </w:tcPr>
          <w:p>
            <w:pPr>
              <w:spacing w:after="20"/>
            </w:pPr>
            <w:r>
              <w:rPr>
                <w:rFonts w:ascii="Calibri" w:hAnsi="Calibri"/>
                <w:b/>
                <w:color w:val="1F4E79"/>
                <w:sz w:val="21"/>
              </w:rPr>
              <w:t>6. Conclusion</w:t>
            </w:r>
          </w:p>
        </w:tc>
        <w:tc>
          <w:tcPr>
            <w:tcW w:type="dxa" w:w="1008"/>
            <w:tcMar>
              <w:top w:w="30" w:type="dxa"/>
              <w:bottom w:w="30" w:type="dxa"/>
              <w:left w:w="40" w:type="dxa"/>
              <w:right w:w="40" w:type="dxa"/>
            </w:tcMar>
          </w:tcPr>
          <w:p>
            <w:pPr>
              <w:spacing w:after="20"/>
              <w:jc w:val="right"/>
            </w:pPr>
            <w:r>
              <w:rPr>
                <w:rFonts w:ascii="Calibri" w:hAnsi="Calibri"/>
                <w:color w:val="595959"/>
                <w:sz w:val="21"/>
              </w:rPr>
              <w:t>21</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6.1 Summary of DevOps Accomplishments</w:t>
            </w:r>
          </w:p>
        </w:tc>
        <w:tc>
          <w:tcPr>
            <w:tcW w:type="dxa" w:w="1008"/>
            <w:tcMar>
              <w:top w:w="30" w:type="dxa"/>
              <w:bottom w:w="30" w:type="dxa"/>
              <w:left w:w="40" w:type="dxa"/>
              <w:right w:w="40" w:type="dxa"/>
            </w:tcMar>
          </w:tcPr>
          <w:p>
            <w:pPr>
              <w:spacing w:after="20"/>
              <w:jc w:val="right"/>
            </w:pPr>
            <w:r>
              <w:rPr>
                <w:rFonts w:ascii="Calibri" w:hAnsi="Calibri"/>
                <w:color w:val="595959"/>
                <w:sz w:val="21"/>
              </w:rPr>
              <w:t>21</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6.2 Quantitative Impact &amp; Performance Metrics</w:t>
            </w:r>
          </w:p>
        </w:tc>
        <w:tc>
          <w:tcPr>
            <w:tcW w:type="dxa" w:w="1008"/>
            <w:tcMar>
              <w:top w:w="30" w:type="dxa"/>
              <w:bottom w:w="30" w:type="dxa"/>
              <w:left w:w="40" w:type="dxa"/>
              <w:right w:w="40" w:type="dxa"/>
            </w:tcMar>
          </w:tcPr>
          <w:p>
            <w:pPr>
              <w:spacing w:after="20"/>
              <w:jc w:val="right"/>
            </w:pPr>
            <w:r>
              <w:rPr>
                <w:rFonts w:ascii="Calibri" w:hAnsi="Calibri"/>
                <w:color w:val="595959"/>
                <w:sz w:val="21"/>
              </w:rPr>
              <w:t>21</w:t>
            </w:r>
          </w:p>
        </w:tc>
      </w:tr>
      <w:tr>
        <w:tc>
          <w:tcPr>
            <w:tcW w:type="dxa" w:w="8352"/>
            <w:tcMar>
              <w:top w:w="30" w:type="dxa"/>
              <w:bottom w:w="30" w:type="dxa"/>
              <w:left w:w="40" w:type="dxa"/>
              <w:right w:w="40" w:type="dxa"/>
            </w:tcMar>
          </w:tcPr>
          <w:p>
            <w:pPr>
              <w:spacing w:after="20"/>
            </w:pPr>
            <w:r>
              <w:rPr>
                <w:rFonts w:ascii="Calibri" w:hAnsi="Calibri"/>
                <w:b/>
                <w:color w:val="1F4E79"/>
                <w:sz w:val="21"/>
              </w:rPr>
              <w:t>7. Future Enhancement</w:t>
            </w:r>
          </w:p>
        </w:tc>
        <w:tc>
          <w:tcPr>
            <w:tcW w:type="dxa" w:w="1008"/>
            <w:tcMar>
              <w:top w:w="30" w:type="dxa"/>
              <w:bottom w:w="30" w:type="dxa"/>
              <w:left w:w="40" w:type="dxa"/>
              <w:right w:w="40" w:type="dxa"/>
            </w:tcMar>
          </w:tcPr>
          <w:p>
            <w:pPr>
              <w:spacing w:after="20"/>
              <w:jc w:val="right"/>
            </w:pPr>
            <w:r>
              <w:rPr>
                <w:rFonts w:ascii="Calibri" w:hAnsi="Calibri"/>
                <w:color w:val="595959"/>
                <w:sz w:val="21"/>
              </w:rPr>
              <w:t>22</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7.1 Automated Container Registry Integration (GHCR / Docker Hub)</w:t>
            </w:r>
          </w:p>
        </w:tc>
        <w:tc>
          <w:tcPr>
            <w:tcW w:type="dxa" w:w="1008"/>
            <w:tcMar>
              <w:top w:w="30" w:type="dxa"/>
              <w:bottom w:w="30" w:type="dxa"/>
              <w:left w:w="40" w:type="dxa"/>
              <w:right w:w="40" w:type="dxa"/>
            </w:tcMar>
          </w:tcPr>
          <w:p>
            <w:pPr>
              <w:spacing w:after="20"/>
              <w:jc w:val="right"/>
            </w:pPr>
            <w:r>
              <w:rPr>
                <w:rFonts w:ascii="Calibri" w:hAnsi="Calibri"/>
                <w:color w:val="595959"/>
                <w:sz w:val="21"/>
              </w:rPr>
              <w:t>22</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7.2 Kubernetes (K8s) Cluster Deployment &amp; Auto-Scaling</w:t>
            </w:r>
          </w:p>
        </w:tc>
        <w:tc>
          <w:tcPr>
            <w:tcW w:type="dxa" w:w="1008"/>
            <w:tcMar>
              <w:top w:w="30" w:type="dxa"/>
              <w:bottom w:w="30" w:type="dxa"/>
              <w:left w:w="40" w:type="dxa"/>
              <w:right w:w="40" w:type="dxa"/>
            </w:tcMar>
          </w:tcPr>
          <w:p>
            <w:pPr>
              <w:spacing w:after="20"/>
              <w:jc w:val="right"/>
            </w:pPr>
            <w:r>
              <w:rPr>
                <w:rFonts w:ascii="Calibri" w:hAnsi="Calibri"/>
                <w:color w:val="595959"/>
                <w:sz w:val="21"/>
              </w:rPr>
              <w:t>22</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7.3 Infrastructure as Code (IaC) with Terraform</w:t>
            </w:r>
          </w:p>
        </w:tc>
        <w:tc>
          <w:tcPr>
            <w:tcW w:type="dxa" w:w="1008"/>
            <w:tcMar>
              <w:top w:w="30" w:type="dxa"/>
              <w:bottom w:w="30" w:type="dxa"/>
              <w:left w:w="40" w:type="dxa"/>
              <w:right w:w="40" w:type="dxa"/>
            </w:tcMar>
          </w:tcPr>
          <w:p>
            <w:pPr>
              <w:spacing w:after="20"/>
              <w:jc w:val="right"/>
            </w:pPr>
            <w:r>
              <w:rPr>
                <w:rFonts w:ascii="Calibri" w:hAnsi="Calibri"/>
                <w:color w:val="595959"/>
                <w:sz w:val="21"/>
              </w:rPr>
              <w:t>22</w:t>
            </w:r>
          </w:p>
        </w:tc>
      </w:tr>
      <w:tr>
        <w:tc>
          <w:tcPr>
            <w:tcW w:type="dxa" w:w="8352"/>
            <w:tcMar>
              <w:top w:w="30" w:type="dxa"/>
              <w:bottom w:w="30" w:type="dxa"/>
              <w:left w:w="40" w:type="dxa"/>
              <w:right w:w="40" w:type="dxa"/>
            </w:tcMar>
          </w:tcPr>
          <w:p>
            <w:pPr>
              <w:spacing w:after="20"/>
            </w:pPr>
            <w:r>
              <w:rPr>
                <w:rFonts w:ascii="Calibri" w:hAnsi="Calibri"/>
                <w:color w:val="262626"/>
                <w:sz w:val="21"/>
              </w:rPr>
              <w:t xml:space="preserve">    7.4 Continuous Monitoring &amp; Telemetry (Prometheus &amp; Grafana)</w:t>
            </w:r>
          </w:p>
        </w:tc>
        <w:tc>
          <w:tcPr>
            <w:tcW w:type="dxa" w:w="1008"/>
            <w:tcMar>
              <w:top w:w="30" w:type="dxa"/>
              <w:bottom w:w="30" w:type="dxa"/>
              <w:left w:w="40" w:type="dxa"/>
              <w:right w:w="40" w:type="dxa"/>
            </w:tcMar>
          </w:tcPr>
          <w:p>
            <w:pPr>
              <w:spacing w:after="20"/>
              <w:jc w:val="right"/>
            </w:pPr>
            <w:r>
              <w:rPr>
                <w:rFonts w:ascii="Calibri" w:hAnsi="Calibri"/>
                <w:color w:val="595959"/>
                <w:sz w:val="21"/>
              </w:rPr>
              <w:t>23</w:t>
            </w:r>
          </w:p>
        </w:tc>
      </w:tr>
      <w:tr>
        <w:tc>
          <w:tcPr>
            <w:tcW w:type="dxa" w:w="8352"/>
            <w:tcMar>
              <w:top w:w="30" w:type="dxa"/>
              <w:bottom w:w="30" w:type="dxa"/>
              <w:left w:w="40" w:type="dxa"/>
              <w:right w:w="40" w:type="dxa"/>
            </w:tcMar>
          </w:tcPr>
          <w:p>
            <w:pPr>
              <w:spacing w:after="20"/>
            </w:pPr>
            <w:r>
              <w:rPr>
                <w:rFonts w:ascii="Calibri" w:hAnsi="Calibri"/>
                <w:b/>
                <w:color w:val="1F4E79"/>
                <w:sz w:val="21"/>
              </w:rPr>
              <w:t>8. Bibliography and References</w:t>
            </w:r>
          </w:p>
        </w:tc>
        <w:tc>
          <w:tcPr>
            <w:tcW w:type="dxa" w:w="1008"/>
            <w:tcMar>
              <w:top w:w="30" w:type="dxa"/>
              <w:bottom w:w="30" w:type="dxa"/>
              <w:left w:w="40" w:type="dxa"/>
              <w:right w:w="40" w:type="dxa"/>
            </w:tcMar>
          </w:tcPr>
          <w:p>
            <w:pPr>
              <w:spacing w:after="20"/>
              <w:jc w:val="right"/>
            </w:pPr>
            <w:r>
              <w:rPr>
                <w:rFonts w:ascii="Calibri" w:hAnsi="Calibri"/>
                <w:color w:val="595959"/>
                <w:sz w:val="21"/>
              </w:rPr>
              <w:t>24</w:t>
            </w:r>
          </w:p>
        </w:tc>
      </w:tr>
    </w:tbl>
    <w:p>
      <w:r>
        <w:br w:type="page"/>
      </w:r>
    </w:p>
    <w:p>
      <w:pPr>
        <w:keepNext/>
        <w:spacing w:before="360" w:after="120"/>
      </w:pPr>
      <w:r>
        <w:rPr>
          <w:rFonts w:ascii="Arial" w:hAnsi="Arial"/>
          <w:b/>
          <w:color w:val="1F4E79"/>
          <w:sz w:val="32"/>
        </w:rPr>
        <w:t>1. INTRODUCTION</w:t>
      </w:r>
    </w:p>
    <w:p>
      <w:pPr>
        <w:keepNext/>
        <w:spacing w:before="280" w:after="80"/>
      </w:pPr>
      <w:r>
        <w:rPr>
          <w:rFonts w:ascii="Arial" w:hAnsi="Arial"/>
          <w:b/>
          <w:color w:val="2F5597"/>
          <w:sz w:val="26"/>
        </w:rPr>
        <w:t>1.1 Project Background &amp; Domain Context</w:t>
      </w:r>
    </w:p>
    <w:p>
      <w:pPr>
        <w:spacing w:before="0" w:after="120" w:line="276" w:lineRule="auto"/>
        <w:jc w:val="both"/>
      </w:pPr>
      <w:r>
        <w:rPr>
          <w:rFonts w:ascii="Calibri" w:hAnsi="Calibri"/>
          <w:color w:val="262626"/>
          <w:sz w:val="22"/>
        </w:rPr>
        <w:t>AgriGuard AI is an advanced deep-learning-driven plant pathology and agronomic advisory platform designed to diagnose plant disorders from full-canopy and full-plant photographic inputs. Unlike traditional leaf-segmentation models, AgriGuard AI processes comprehensive full-plant imagery to detect multi-label disease occurrences, pest infestations, and abiotic environmental stresses simultaneously. The underlying software system integrates deep convolutional backbones, multi-head classification heads, rule-based agronomic advisory generators, and a high-performance REST API built on the asynchronous FastAPI framework.</w:t>
      </w:r>
    </w:p>
    <w:p>
      <w:pPr>
        <w:keepNext/>
        <w:spacing w:before="280" w:after="80"/>
      </w:pPr>
      <w:r>
        <w:rPr>
          <w:rFonts w:ascii="Arial" w:hAnsi="Arial"/>
          <w:b/>
          <w:color w:val="2F5597"/>
          <w:sz w:val="26"/>
        </w:rPr>
        <w:t>1.2 The DevOps Problem Statement in ML Systems</w:t>
      </w:r>
    </w:p>
    <w:p>
      <w:pPr>
        <w:spacing w:before="0" w:after="120" w:line="276" w:lineRule="auto"/>
        <w:jc w:val="both"/>
      </w:pPr>
      <w:r>
        <w:rPr>
          <w:rFonts w:ascii="Calibri" w:hAnsi="Calibri"/>
          <w:color w:val="262626"/>
          <w:sz w:val="22"/>
        </w:rPr>
        <w:t>While Machine Learning (ML) algorithms demonstrate remarkable diagnostic capabilities in experimental Jupyter notebooks, transitioning such models into reliable, production-ready microservices presents severe operational bottlenecks—a challenge commonly recognized in modern software engineering as 'The Production Deployment Gap.' The principal challenges encountered in the deployment of complex data science applications include:</w:t>
      </w:r>
    </w:p>
    <w:p>
      <w:pPr>
        <w:pStyle w:val="ListBullet"/>
        <w:spacing w:before="20" w:after="60" w:line="276" w:lineRule="auto"/>
        <w:jc w:val="both"/>
      </w:pPr>
      <w:r>
        <w:rPr>
          <w:rFonts w:ascii="Calibri" w:hAnsi="Calibri"/>
          <w:b/>
          <w:color w:val="262626"/>
          <w:sz w:val="22"/>
        </w:rPr>
        <w:t>•</w:t>
      </w:r>
      <w:r>
        <w:rPr>
          <w:rFonts w:ascii="Calibri" w:hAnsi="Calibri"/>
          <w:color w:val="262626"/>
          <w:sz w:val="22"/>
        </w:rPr>
        <w:t xml:space="preserve"> The 'Works on My Machine' Dilemma: Data science projects rely heavily on specific operating system libraries (e.g., OpenCV C++ shared binaries, libgl1, libglib), language runtimes, and exact numerical library versions. Minor mismatches in Linux vs. Windows kernels result in immediate runtime segmentation faults.</w:t>
      </w:r>
    </w:p>
    <w:p>
      <w:pPr>
        <w:pStyle w:val="ListBullet"/>
        <w:spacing w:before="20" w:after="60" w:line="276" w:lineRule="auto"/>
        <w:jc w:val="both"/>
      </w:pPr>
      <w:r>
        <w:rPr>
          <w:rFonts w:ascii="Calibri" w:hAnsi="Calibri"/>
          <w:b/>
          <w:color w:val="262626"/>
          <w:sz w:val="22"/>
        </w:rPr>
        <w:t>•</w:t>
      </w:r>
      <w:r>
        <w:rPr>
          <w:rFonts w:ascii="Calibri" w:hAnsi="Calibri"/>
          <w:color w:val="262626"/>
          <w:sz w:val="22"/>
        </w:rPr>
        <w:t xml:space="preserve"> Massive Dependency Footprints: Frameworks like PyTorch, Torchvision, and CUDA runtime libraries frequently exceed 3.5 to 5 Gigabytes per build. Unoptimized dockerization leads to network socket timeouts, slow container provisioning, and exhausted disk quotas.</w:t>
      </w:r>
    </w:p>
    <w:p>
      <w:pPr>
        <w:pStyle w:val="ListBullet"/>
        <w:spacing w:before="20" w:after="60" w:line="276" w:lineRule="auto"/>
        <w:jc w:val="both"/>
      </w:pPr>
      <w:r>
        <w:rPr>
          <w:rFonts w:ascii="Calibri" w:hAnsi="Calibri"/>
          <w:b/>
          <w:color w:val="262626"/>
          <w:sz w:val="22"/>
        </w:rPr>
        <w:t>•</w:t>
      </w:r>
      <w:r>
        <w:rPr>
          <w:rFonts w:ascii="Calibri" w:hAnsi="Calibri"/>
          <w:color w:val="262626"/>
          <w:sz w:val="22"/>
        </w:rPr>
        <w:t xml:space="preserve"> Manual and Error-Prone Deployments: Lack of automation between code commits and deployment environments results in untested code reaching production, broken endpoints, and protracted developer downtime.</w:t>
      </w:r>
    </w:p>
    <w:p>
      <w:pPr>
        <w:pStyle w:val="ListBullet"/>
        <w:spacing w:before="20" w:after="60" w:line="276" w:lineRule="auto"/>
        <w:jc w:val="both"/>
      </w:pPr>
      <w:r>
        <w:rPr>
          <w:rFonts w:ascii="Calibri" w:hAnsi="Calibri"/>
          <w:b/>
          <w:color w:val="262626"/>
          <w:sz w:val="22"/>
        </w:rPr>
        <w:t>•</w:t>
      </w:r>
      <w:r>
        <w:rPr>
          <w:rFonts w:ascii="Calibri" w:hAnsi="Calibri"/>
          <w:color w:val="262626"/>
          <w:sz w:val="22"/>
        </w:rPr>
        <w:t xml:space="preserve"> Absence of Continuous Validation: Without automated smoke testing in the deployment lifecycle, server crashes caused by dynamic schema misconfigurations or broken import bindings are detected only after user traffic fails.</w:t>
      </w:r>
    </w:p>
    <w:p>
      <w:pPr>
        <w:keepNext/>
        <w:spacing w:before="280" w:after="80"/>
      </w:pPr>
      <w:r>
        <w:rPr>
          <w:rFonts w:ascii="Arial" w:hAnsi="Arial"/>
          <w:b/>
          <w:color w:val="2F5597"/>
          <w:sz w:val="26"/>
        </w:rPr>
        <w:t>1.3 Project Goals &amp; DevOps Objectives</w:t>
      </w:r>
    </w:p>
    <w:p>
      <w:pPr>
        <w:spacing w:before="0" w:after="120" w:line="276" w:lineRule="auto"/>
        <w:jc w:val="both"/>
      </w:pPr>
      <w:r>
        <w:rPr>
          <w:rFonts w:ascii="Calibri" w:hAnsi="Calibri"/>
          <w:color w:val="262626"/>
          <w:sz w:val="22"/>
        </w:rPr>
        <w:t>To eliminate these deployment risks, this DevOps project engineered an automated, containerized Continuous Integration and Continuous Deployment (CI/CD) architecture for the AgriGuard AI system. The concrete engineering objectives accomplished include:</w:t>
      </w:r>
    </w:p>
    <w:p>
      <w:pPr>
        <w:pStyle w:val="ListBullet"/>
        <w:spacing w:before="20" w:after="60" w:line="276" w:lineRule="auto"/>
        <w:jc w:val="both"/>
      </w:pPr>
      <w:r>
        <w:rPr>
          <w:rFonts w:ascii="Calibri" w:hAnsi="Calibri"/>
          <w:b/>
          <w:color w:val="262626"/>
          <w:sz w:val="22"/>
        </w:rPr>
        <w:t>1.</w:t>
      </w:r>
      <w:r>
        <w:rPr>
          <w:rFonts w:ascii="Calibri" w:hAnsi="Calibri"/>
          <w:color w:val="262626"/>
          <w:sz w:val="22"/>
        </w:rPr>
        <w:t xml:space="preserve"> Complete Containerization: Encapsulate the entire Python runtime, C-level graphics libraries, FastAPI web engine, and inference pipelines into an immutable, self-contained Docker container image.</w:t>
      </w:r>
    </w:p>
    <w:p>
      <w:pPr>
        <w:pStyle w:val="ListBullet"/>
        <w:spacing w:before="20" w:after="60" w:line="276" w:lineRule="auto"/>
        <w:jc w:val="both"/>
      </w:pPr>
      <w:r>
        <w:rPr>
          <w:rFonts w:ascii="Calibri" w:hAnsi="Calibri"/>
          <w:b/>
          <w:color w:val="262626"/>
          <w:sz w:val="22"/>
        </w:rPr>
        <w:t>2.</w:t>
      </w:r>
      <w:r>
        <w:rPr>
          <w:rFonts w:ascii="Calibri" w:hAnsi="Calibri"/>
          <w:color w:val="262626"/>
          <w:sz w:val="22"/>
        </w:rPr>
        <w:t xml:space="preserve"> Layer Optimization &amp; Build Acceleration: Architect the Dockerfile multi-layer caching model and .dockerignore policies to shrink transfer context from 58.8 MB to 4.1 KB and resolve PyTorch dependency downloads using optimized CPU distributions, cutting build times by over 75%.</w:t>
      </w:r>
    </w:p>
    <w:p>
      <w:pPr>
        <w:pStyle w:val="ListBullet"/>
        <w:spacing w:before="20" w:after="60" w:line="276" w:lineRule="auto"/>
        <w:jc w:val="both"/>
      </w:pPr>
      <w:r>
        <w:rPr>
          <w:rFonts w:ascii="Calibri" w:hAnsi="Calibri"/>
          <w:b/>
          <w:color w:val="262626"/>
          <w:sz w:val="22"/>
        </w:rPr>
        <w:t>3.</w:t>
      </w:r>
      <w:r>
        <w:rPr>
          <w:rFonts w:ascii="Calibri" w:hAnsi="Calibri"/>
          <w:color w:val="262626"/>
          <w:sz w:val="22"/>
        </w:rPr>
        <w:t xml:space="preserve"> Multi-Container Orchestration: Implement standardized Docker Compose configuration (docker-compose.yml) enabling single-command instantiation of the application suite with isolated networks and port bindings.</w:t>
      </w:r>
    </w:p>
    <w:p>
      <w:pPr>
        <w:pStyle w:val="ListBullet"/>
        <w:spacing w:before="20" w:after="60" w:line="276" w:lineRule="auto"/>
        <w:jc w:val="both"/>
      </w:pPr>
      <w:r>
        <w:rPr>
          <w:rFonts w:ascii="Calibri" w:hAnsi="Calibri"/>
          <w:b/>
          <w:color w:val="262626"/>
          <w:sz w:val="22"/>
        </w:rPr>
        <w:t>4.</w:t>
      </w:r>
      <w:r>
        <w:rPr>
          <w:rFonts w:ascii="Calibri" w:hAnsi="Calibri"/>
          <w:color w:val="262626"/>
          <w:sz w:val="22"/>
        </w:rPr>
        <w:t xml:space="preserve"> Automated CI/CD GitHub Actions Pipeline: Establish a declarative workflow (.github/workflows/docker-ci.yml) triggering on pushes to the main branch to automatically checkout code, build container images, instantiate test containers, execute automated HTTP smoke tests, verify health probes, and report build telemetry.</w:t>
      </w:r>
    </w:p>
    <w:p>
      <w:pPr>
        <w:pStyle w:val="ListBullet"/>
        <w:spacing w:before="20" w:after="60" w:line="276" w:lineRule="auto"/>
        <w:jc w:val="both"/>
      </w:pPr>
      <w:r>
        <w:rPr>
          <w:rFonts w:ascii="Calibri" w:hAnsi="Calibri"/>
          <w:b/>
          <w:color w:val="262626"/>
          <w:sz w:val="22"/>
        </w:rPr>
        <w:t>5.</w:t>
      </w:r>
      <w:r>
        <w:rPr>
          <w:rFonts w:ascii="Calibri" w:hAnsi="Calibri"/>
          <w:color w:val="262626"/>
          <w:sz w:val="22"/>
        </w:rPr>
        <w:t xml:space="preserve"> Full Version Control Traceability: Synchronize all DevOps infrastructure artifacts into the remote GitHub repository (https://github.com/Raghukn21/ds.project.git) with automated tracking under the GitHub Actions dashboard.</w:t>
      </w:r>
    </w:p>
    <w:p>
      <w:pPr>
        <w:keepNext/>
        <w:spacing w:before="280" w:after="80"/>
      </w:pPr>
      <w:r>
        <w:rPr>
          <w:rFonts w:ascii="Arial" w:hAnsi="Arial"/>
          <w:b/>
          <w:color w:val="2F5597"/>
          <w:sz w:val="26"/>
        </w:rPr>
        <w:t>1.4 Scope and Deliverables</w:t>
      </w:r>
    </w:p>
    <w:p>
      <w:pPr>
        <w:spacing w:before="0" w:after="120" w:line="276" w:lineRule="auto"/>
        <w:jc w:val="both"/>
      </w:pPr>
      <w:r>
        <w:rPr>
          <w:rFonts w:ascii="Calibri" w:hAnsi="Calibri"/>
          <w:color w:val="262626"/>
          <w:sz w:val="22"/>
        </w:rPr>
        <w:t>The operational scope covers the containerization of the backend REST service, the integration of Docker engine toolchains, the resolution of Debian OS-level graphics dependencies, the configuration of GitHub Actions runners, and the end-to-end continuous validation of the /docs and /frontend application endpoints.</w:t>
      </w:r>
    </w:p>
    <w:p>
      <w:r>
        <w:br w:type="page"/>
      </w:r>
    </w:p>
    <w:p>
      <w:pPr>
        <w:keepNext/>
        <w:spacing w:before="360" w:after="120"/>
      </w:pPr>
      <w:r>
        <w:rPr>
          <w:rFonts w:ascii="Arial" w:hAnsi="Arial"/>
          <w:b/>
          <w:color w:val="1F4E79"/>
          <w:sz w:val="32"/>
        </w:rPr>
        <w:t>2. LITERATURE SURVEY AND TECHNOLOGIES</w:t>
      </w:r>
    </w:p>
    <w:p>
      <w:pPr>
        <w:keepNext/>
        <w:spacing w:before="280" w:after="80"/>
      </w:pPr>
      <w:r>
        <w:rPr>
          <w:rFonts w:ascii="Arial" w:hAnsi="Arial"/>
          <w:b/>
          <w:color w:val="2F5597"/>
          <w:sz w:val="26"/>
        </w:rPr>
        <w:t>2.1 Evolutionary Paradigm: From Monoliths to Containerized DevOps</w:t>
      </w:r>
    </w:p>
    <w:p>
      <w:pPr>
        <w:spacing w:before="0" w:after="120" w:line="276" w:lineRule="auto"/>
        <w:jc w:val="both"/>
      </w:pPr>
      <w:r>
        <w:rPr>
          <w:rFonts w:ascii="Calibri" w:hAnsi="Calibri"/>
          <w:color w:val="262626"/>
          <w:sz w:val="22"/>
        </w:rPr>
        <w:t>Historically, machine learning and data science applications were delivered as monolithic bundles deployed directly onto bare-metal servers or heavyweight Virtual Machines (VMs). In traditional MLOps literature (Sculley et al., Google, 2015), technical debt in machine learning systems is predominantly attributed to hidden glue code, configuration discrepancies, and environment entanglement. The adoption of DevOps methodologies bridges the divide between model development and operational stability by applying immutable infrastructure principles, infrastructure-as-code (IaC), and automated test-driven deployment.</w:t>
      </w:r>
    </w:p>
    <w:p>
      <w:pPr>
        <w:keepNext/>
        <w:spacing w:before="280" w:after="80"/>
      </w:pPr>
      <w:r>
        <w:rPr>
          <w:rFonts w:ascii="Arial" w:hAnsi="Arial"/>
          <w:b/>
          <w:color w:val="2F5597"/>
          <w:sz w:val="26"/>
        </w:rPr>
        <w:t>2.2 Containerization vs. Traditional Virtual Machines</w:t>
      </w:r>
    </w:p>
    <w:p>
      <w:pPr>
        <w:spacing w:before="0" w:after="120" w:line="276" w:lineRule="auto"/>
        <w:jc w:val="both"/>
      </w:pPr>
      <w:r>
        <w:rPr>
          <w:rFonts w:ascii="Calibri" w:hAnsi="Calibri"/>
          <w:color w:val="262626"/>
          <w:sz w:val="22"/>
        </w:rPr>
        <w:t>Traditional Virtual Machines require an entire guest operating system, virtual hypervisor overhead (Type-1 or Type-2), and dedicated hardware allocation. In contrast, OS-level virtualization via Docker shares the host operating system kernel, namespace primitives (PID, NET, IPC, MNT, UTS), and Control Groups (cgroups).</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80" w:type="dxa"/>
              <w:bottom w:w="80" w:type="dxa"/>
              <w:left w:w="100" w:type="dxa"/>
              <w:right w:w="100" w:type="dxa"/>
            </w:tcMar>
          </w:tcPr>
          <w:p>
            <w:r>
              <w:rPr>
                <w:rFonts w:ascii="Arial" w:hAnsi="Arial"/>
                <w:b/>
                <w:color w:val="FFFFFF"/>
                <w:sz w:val="20"/>
              </w:rPr>
              <w:t>Architectural Feature</w:t>
            </w:r>
          </w:p>
        </w:tc>
        <w:tc>
          <w:tcPr>
            <w:tcW w:type="dxa" w:w="3120"/>
            <w:shd w:fill="1F4E79"/>
            <w:tcMar>
              <w:top w:w="80" w:type="dxa"/>
              <w:bottom w:w="80" w:type="dxa"/>
              <w:left w:w="100" w:type="dxa"/>
              <w:right w:w="100" w:type="dxa"/>
            </w:tcMar>
          </w:tcPr>
          <w:p>
            <w:r>
              <w:rPr>
                <w:rFonts w:ascii="Arial" w:hAnsi="Arial"/>
                <w:b/>
                <w:color w:val="FFFFFF"/>
                <w:sz w:val="20"/>
              </w:rPr>
              <w:t>Traditional Virtual Machine</w:t>
            </w:r>
          </w:p>
        </w:tc>
        <w:tc>
          <w:tcPr>
            <w:tcW w:type="dxa" w:w="3120"/>
            <w:shd w:fill="1F4E79"/>
            <w:tcMar>
              <w:top w:w="80" w:type="dxa"/>
              <w:bottom w:w="80" w:type="dxa"/>
              <w:left w:w="100" w:type="dxa"/>
              <w:right w:w="100" w:type="dxa"/>
            </w:tcMar>
          </w:tcPr>
          <w:p>
            <w:r>
              <w:rPr>
                <w:rFonts w:ascii="Arial" w:hAnsi="Arial"/>
                <w:b/>
                <w:color w:val="FFFFFF"/>
                <w:sz w:val="20"/>
              </w:rPr>
              <w:t>Docker Container (AgriGuard AI)</w:t>
            </w:r>
          </w:p>
        </w:tc>
      </w:tr>
      <w:tr>
        <w:tc>
          <w:tcPr>
            <w:tcW w:type="dxa" w:w="3120"/>
            <w:shd w:fill="F9FAFB"/>
            <w:tcMar>
              <w:top w:w="60" w:type="dxa"/>
              <w:bottom w:w="60" w:type="dxa"/>
              <w:left w:w="100" w:type="dxa"/>
              <w:right w:w="100" w:type="dxa"/>
            </w:tcMar>
          </w:tcPr>
          <w:p>
            <w:r>
              <w:rPr>
                <w:rFonts w:ascii="Calibri" w:hAnsi="Calibri"/>
                <w:b/>
                <w:color w:val="262626"/>
                <w:sz w:val="19"/>
              </w:rPr>
              <w:t>Operating System Architecture</w:t>
            </w:r>
          </w:p>
        </w:tc>
        <w:tc>
          <w:tcPr>
            <w:tcW w:type="dxa" w:w="3120"/>
            <w:shd w:fill="F9FAFB"/>
            <w:tcMar>
              <w:top w:w="60" w:type="dxa"/>
              <w:bottom w:w="60" w:type="dxa"/>
              <w:left w:w="100" w:type="dxa"/>
              <w:right w:w="100" w:type="dxa"/>
            </w:tcMar>
          </w:tcPr>
          <w:p>
            <w:r>
              <w:rPr>
                <w:rFonts w:ascii="Calibri" w:hAnsi="Calibri"/>
                <w:color w:val="262626"/>
                <w:sz w:val="19"/>
              </w:rPr>
              <w:t>Heavy guest OS per VM (GBs)</w:t>
            </w:r>
          </w:p>
        </w:tc>
        <w:tc>
          <w:tcPr>
            <w:tcW w:type="dxa" w:w="3120"/>
            <w:shd w:fill="F9FAFB"/>
            <w:tcMar>
              <w:top w:w="60" w:type="dxa"/>
              <w:bottom w:w="60" w:type="dxa"/>
              <w:left w:w="100" w:type="dxa"/>
              <w:right w:w="100" w:type="dxa"/>
            </w:tcMar>
          </w:tcPr>
          <w:p>
            <w:r>
              <w:rPr>
                <w:rFonts w:ascii="Calibri" w:hAnsi="Calibri"/>
                <w:color w:val="262626"/>
                <w:sz w:val="19"/>
              </w:rPr>
              <w:t>Shared host kernel; lightweight rootfs (MBs)</w:t>
            </w:r>
          </w:p>
        </w:tc>
      </w:tr>
      <w:tr>
        <w:tc>
          <w:tcPr>
            <w:tcW w:type="dxa" w:w="3120"/>
            <w:shd w:fill="FFFFFF"/>
            <w:tcMar>
              <w:top w:w="60" w:type="dxa"/>
              <w:bottom w:w="60" w:type="dxa"/>
              <w:left w:w="100" w:type="dxa"/>
              <w:right w:w="100" w:type="dxa"/>
            </w:tcMar>
          </w:tcPr>
          <w:p>
            <w:r>
              <w:rPr>
                <w:rFonts w:ascii="Calibri" w:hAnsi="Calibri"/>
                <w:b/>
                <w:color w:val="262626"/>
                <w:sz w:val="19"/>
              </w:rPr>
              <w:t>Startup Latency</w:t>
            </w:r>
          </w:p>
        </w:tc>
        <w:tc>
          <w:tcPr>
            <w:tcW w:type="dxa" w:w="3120"/>
            <w:shd w:fill="FFFFFF"/>
            <w:tcMar>
              <w:top w:w="60" w:type="dxa"/>
              <w:bottom w:w="60" w:type="dxa"/>
              <w:left w:w="100" w:type="dxa"/>
              <w:right w:w="100" w:type="dxa"/>
            </w:tcMar>
          </w:tcPr>
          <w:p>
            <w:r>
              <w:rPr>
                <w:rFonts w:ascii="Calibri" w:hAnsi="Calibri"/>
                <w:color w:val="262626"/>
                <w:sz w:val="19"/>
              </w:rPr>
              <w:t>Minutes (full OS boot)</w:t>
            </w:r>
          </w:p>
        </w:tc>
        <w:tc>
          <w:tcPr>
            <w:tcW w:type="dxa" w:w="3120"/>
            <w:shd w:fill="FFFFFF"/>
            <w:tcMar>
              <w:top w:w="60" w:type="dxa"/>
              <w:bottom w:w="60" w:type="dxa"/>
              <w:left w:w="100" w:type="dxa"/>
              <w:right w:w="100" w:type="dxa"/>
            </w:tcMar>
          </w:tcPr>
          <w:p>
            <w:r>
              <w:rPr>
                <w:rFonts w:ascii="Calibri" w:hAnsi="Calibri"/>
                <w:color w:val="262626"/>
                <w:sz w:val="19"/>
              </w:rPr>
              <w:t>Sub-second to few seconds (&lt; 3s)</w:t>
            </w:r>
          </w:p>
        </w:tc>
      </w:tr>
      <w:tr>
        <w:tc>
          <w:tcPr>
            <w:tcW w:type="dxa" w:w="3120"/>
            <w:shd w:fill="F9FAFB"/>
            <w:tcMar>
              <w:top w:w="60" w:type="dxa"/>
              <w:bottom w:w="60" w:type="dxa"/>
              <w:left w:w="100" w:type="dxa"/>
              <w:right w:w="100" w:type="dxa"/>
            </w:tcMar>
          </w:tcPr>
          <w:p>
            <w:r>
              <w:rPr>
                <w:rFonts w:ascii="Calibri" w:hAnsi="Calibri"/>
                <w:b/>
                <w:color w:val="262626"/>
                <w:sz w:val="19"/>
              </w:rPr>
              <w:t>Resource Utilization</w:t>
            </w:r>
          </w:p>
        </w:tc>
        <w:tc>
          <w:tcPr>
            <w:tcW w:type="dxa" w:w="3120"/>
            <w:shd w:fill="F9FAFB"/>
            <w:tcMar>
              <w:top w:w="60" w:type="dxa"/>
              <w:bottom w:w="60" w:type="dxa"/>
              <w:left w:w="100" w:type="dxa"/>
              <w:right w:w="100" w:type="dxa"/>
            </w:tcMar>
          </w:tcPr>
          <w:p>
            <w:r>
              <w:rPr>
                <w:rFonts w:ascii="Calibri" w:hAnsi="Calibri"/>
                <w:color w:val="262626"/>
                <w:sz w:val="19"/>
              </w:rPr>
              <w:t>Static memory &amp; CPU reservation</w:t>
            </w:r>
          </w:p>
        </w:tc>
        <w:tc>
          <w:tcPr>
            <w:tcW w:type="dxa" w:w="3120"/>
            <w:shd w:fill="F9FAFB"/>
            <w:tcMar>
              <w:top w:w="60" w:type="dxa"/>
              <w:bottom w:w="60" w:type="dxa"/>
              <w:left w:w="100" w:type="dxa"/>
              <w:right w:w="100" w:type="dxa"/>
            </w:tcMar>
          </w:tcPr>
          <w:p>
            <w:r>
              <w:rPr>
                <w:rFonts w:ascii="Calibri" w:hAnsi="Calibri"/>
                <w:color w:val="262626"/>
                <w:sz w:val="19"/>
              </w:rPr>
              <w:t>Dynamic elasticity via Linux cgroups</w:t>
            </w:r>
          </w:p>
        </w:tc>
      </w:tr>
      <w:tr>
        <w:tc>
          <w:tcPr>
            <w:tcW w:type="dxa" w:w="3120"/>
            <w:shd w:fill="FFFFFF"/>
            <w:tcMar>
              <w:top w:w="60" w:type="dxa"/>
              <w:bottom w:w="60" w:type="dxa"/>
              <w:left w:w="100" w:type="dxa"/>
              <w:right w:w="100" w:type="dxa"/>
            </w:tcMar>
          </w:tcPr>
          <w:p>
            <w:r>
              <w:rPr>
                <w:rFonts w:ascii="Calibri" w:hAnsi="Calibri"/>
                <w:b/>
                <w:color w:val="262626"/>
                <w:sz w:val="19"/>
              </w:rPr>
              <w:t>Environment Parity</w:t>
            </w:r>
          </w:p>
        </w:tc>
        <w:tc>
          <w:tcPr>
            <w:tcW w:type="dxa" w:w="3120"/>
            <w:shd w:fill="FFFFFF"/>
            <w:tcMar>
              <w:top w:w="60" w:type="dxa"/>
              <w:bottom w:w="60" w:type="dxa"/>
              <w:left w:w="100" w:type="dxa"/>
              <w:right w:w="100" w:type="dxa"/>
            </w:tcMar>
          </w:tcPr>
          <w:p>
            <w:r>
              <w:rPr>
                <w:rFonts w:ascii="Calibri" w:hAnsi="Calibri"/>
                <w:color w:val="262626"/>
                <w:sz w:val="19"/>
              </w:rPr>
              <w:t>Prone to configuration drift across hosts</w:t>
            </w:r>
          </w:p>
        </w:tc>
        <w:tc>
          <w:tcPr>
            <w:tcW w:type="dxa" w:w="3120"/>
            <w:shd w:fill="FFFFFF"/>
            <w:tcMar>
              <w:top w:w="60" w:type="dxa"/>
              <w:bottom w:w="60" w:type="dxa"/>
              <w:left w:w="100" w:type="dxa"/>
              <w:right w:w="100" w:type="dxa"/>
            </w:tcMar>
          </w:tcPr>
          <w:p>
            <w:r>
              <w:rPr>
                <w:rFonts w:ascii="Calibri" w:hAnsi="Calibri"/>
                <w:color w:val="262626"/>
                <w:sz w:val="19"/>
              </w:rPr>
              <w:t>100% immutable image guarantee</w:t>
            </w:r>
          </w:p>
        </w:tc>
      </w:tr>
      <w:tr>
        <w:tc>
          <w:tcPr>
            <w:tcW w:type="dxa" w:w="3120"/>
            <w:shd w:fill="F9FAFB"/>
            <w:tcMar>
              <w:top w:w="60" w:type="dxa"/>
              <w:bottom w:w="60" w:type="dxa"/>
              <w:left w:w="100" w:type="dxa"/>
              <w:right w:w="100" w:type="dxa"/>
            </w:tcMar>
          </w:tcPr>
          <w:p>
            <w:r>
              <w:rPr>
                <w:rFonts w:ascii="Calibri" w:hAnsi="Calibri"/>
                <w:b/>
                <w:color w:val="262626"/>
                <w:sz w:val="19"/>
              </w:rPr>
              <w:t>CI/CD Pipeline Speed</w:t>
            </w:r>
          </w:p>
        </w:tc>
        <w:tc>
          <w:tcPr>
            <w:tcW w:type="dxa" w:w="3120"/>
            <w:shd w:fill="F9FAFB"/>
            <w:tcMar>
              <w:top w:w="60" w:type="dxa"/>
              <w:bottom w:w="60" w:type="dxa"/>
              <w:left w:w="100" w:type="dxa"/>
              <w:right w:w="100" w:type="dxa"/>
            </w:tcMar>
          </w:tcPr>
          <w:p>
            <w:r>
              <w:rPr>
                <w:rFonts w:ascii="Calibri" w:hAnsi="Calibri"/>
                <w:color w:val="262626"/>
                <w:sz w:val="19"/>
              </w:rPr>
              <w:t>Slow snapshotting and migration</w:t>
            </w:r>
          </w:p>
        </w:tc>
        <w:tc>
          <w:tcPr>
            <w:tcW w:type="dxa" w:w="3120"/>
            <w:shd w:fill="F9FAFB"/>
            <w:tcMar>
              <w:top w:w="60" w:type="dxa"/>
              <w:bottom w:w="60" w:type="dxa"/>
              <w:left w:w="100" w:type="dxa"/>
              <w:right w:w="100" w:type="dxa"/>
            </w:tcMar>
          </w:tcPr>
          <w:p>
            <w:r>
              <w:rPr>
                <w:rFonts w:ascii="Calibri" w:hAnsi="Calibri"/>
                <w:color w:val="262626"/>
                <w:sz w:val="19"/>
              </w:rPr>
              <w:t>Rapid image building, layer caching &amp; push</w:t>
            </w:r>
          </w:p>
        </w:tc>
      </w:tr>
    </w:tbl>
    <w:p/>
    <w:p>
      <w:pPr>
        <w:keepNext/>
        <w:spacing w:before="280" w:after="80"/>
      </w:pPr>
      <w:r>
        <w:rPr>
          <w:rFonts w:ascii="Arial" w:hAnsi="Arial"/>
          <w:b/>
          <w:color w:val="2F5597"/>
          <w:sz w:val="26"/>
        </w:rPr>
        <w:t>2.3 Continuous Integration and Continuous Deployment (GitHub Actions)</w:t>
      </w:r>
    </w:p>
    <w:p>
      <w:pPr>
        <w:spacing w:before="0" w:after="120" w:line="276" w:lineRule="auto"/>
        <w:jc w:val="both"/>
      </w:pPr>
      <w:r>
        <w:rPr>
          <w:rFonts w:ascii="Calibri" w:hAnsi="Calibri"/>
          <w:color w:val="262626"/>
          <w:sz w:val="22"/>
        </w:rPr>
        <w:t>Continuous Integration (CI) is a software development practice where developers merge code changes into a central repository frequently, accompanied by automated builds and test executions. Continuous Deployment (CD) automates the delivery of validated artifacts to runtime targets. GitHub Actions offers serverless, event-driven execution runners (Ubuntu, macOS, Windows) capable of natively executing Docker daemons and synthesizing build matrices upon git lifecycle hooks (push, pull_request, workflow_dispatch).</w:t>
      </w:r>
    </w:p>
    <w:p>
      <w:pPr>
        <w:keepNext/>
        <w:spacing w:before="280" w:after="80"/>
      </w:pPr>
      <w:r>
        <w:rPr>
          <w:rFonts w:ascii="Arial" w:hAnsi="Arial"/>
          <w:b/>
          <w:color w:val="2F5597"/>
          <w:sz w:val="26"/>
        </w:rPr>
        <w:t>2.4 Comprehensive Technology Stack</w:t>
      </w:r>
    </w:p>
    <w:p>
      <w:pPr>
        <w:pStyle w:val="ListBullet"/>
        <w:spacing w:before="20" w:after="60" w:line="276" w:lineRule="auto"/>
        <w:jc w:val="both"/>
      </w:pPr>
      <w:r>
        <w:rPr>
          <w:rFonts w:ascii="Calibri" w:hAnsi="Calibri"/>
          <w:b/>
          <w:color w:val="262626"/>
          <w:sz w:val="22"/>
        </w:rPr>
        <w:t xml:space="preserve">• Version Control: </w:t>
      </w:r>
      <w:r>
        <w:rPr>
          <w:rFonts w:ascii="Calibri" w:hAnsi="Calibri"/>
          <w:color w:val="262626"/>
          <w:sz w:val="22"/>
        </w:rPr>
        <w:t xml:space="preserve"> Git (v2.x): Distributed version control system tracking source code modifications, branch management, and commit integrity.</w:t>
      </w:r>
    </w:p>
    <w:p>
      <w:pPr>
        <w:pStyle w:val="ListBullet"/>
        <w:spacing w:before="20" w:after="60" w:line="276" w:lineRule="auto"/>
        <w:jc w:val="both"/>
      </w:pPr>
      <w:r>
        <w:rPr>
          <w:rFonts w:ascii="Calibri" w:hAnsi="Calibri"/>
          <w:b/>
          <w:color w:val="262626"/>
          <w:sz w:val="22"/>
        </w:rPr>
        <w:t xml:space="preserve">• Remote Repository: </w:t>
      </w:r>
      <w:r>
        <w:rPr>
          <w:rFonts w:ascii="Calibri" w:hAnsi="Calibri"/>
          <w:color w:val="262626"/>
          <w:sz w:val="22"/>
        </w:rPr>
        <w:t xml:space="preserve"> GitHub: Cloud-hosted Git management system facilitating remote collaboration, webhooks, pull-request governance, and security scanning.</w:t>
      </w:r>
    </w:p>
    <w:p>
      <w:pPr>
        <w:pStyle w:val="ListBullet"/>
        <w:spacing w:before="20" w:after="60" w:line="276" w:lineRule="auto"/>
        <w:jc w:val="both"/>
      </w:pPr>
      <w:r>
        <w:rPr>
          <w:rFonts w:ascii="Calibri" w:hAnsi="Calibri"/>
          <w:b/>
          <w:color w:val="262626"/>
          <w:sz w:val="22"/>
        </w:rPr>
        <w:t xml:space="preserve">• Container Platform: </w:t>
      </w:r>
      <w:r>
        <w:rPr>
          <w:rFonts w:ascii="Calibri" w:hAnsi="Calibri"/>
          <w:color w:val="262626"/>
          <w:sz w:val="22"/>
        </w:rPr>
        <w:t xml:space="preserve"> Docker Engine (v27+): Industry-standard container runtime leveraging Linux kernel namespaces, cgroups, and overlayfs filesystem drivers.</w:t>
      </w:r>
    </w:p>
    <w:p>
      <w:pPr>
        <w:pStyle w:val="ListBullet"/>
        <w:spacing w:before="20" w:after="60" w:line="276" w:lineRule="auto"/>
        <w:jc w:val="both"/>
      </w:pPr>
      <w:r>
        <w:rPr>
          <w:rFonts w:ascii="Calibri" w:hAnsi="Calibri"/>
          <w:b/>
          <w:color w:val="262626"/>
          <w:sz w:val="22"/>
        </w:rPr>
        <w:t xml:space="preserve">• Orchestration Engine: </w:t>
      </w:r>
      <w:r>
        <w:rPr>
          <w:rFonts w:ascii="Calibri" w:hAnsi="Calibri"/>
          <w:color w:val="262626"/>
          <w:sz w:val="22"/>
        </w:rPr>
        <w:t xml:space="preserve"> Docker Compose: Declarative YAML-based multi-container orchestration specifying services, volume mounts, networks, and environment variables.</w:t>
      </w:r>
    </w:p>
    <w:p>
      <w:pPr>
        <w:pStyle w:val="ListBullet"/>
        <w:spacing w:before="20" w:after="60" w:line="276" w:lineRule="auto"/>
        <w:jc w:val="both"/>
      </w:pPr>
      <w:r>
        <w:rPr>
          <w:rFonts w:ascii="Calibri" w:hAnsi="Calibri"/>
          <w:b/>
          <w:color w:val="262626"/>
          <w:sz w:val="22"/>
        </w:rPr>
        <w:t xml:space="preserve">• CI/CD Automation: </w:t>
      </w:r>
      <w:r>
        <w:rPr>
          <w:rFonts w:ascii="Calibri" w:hAnsi="Calibri"/>
          <w:color w:val="262626"/>
          <w:sz w:val="22"/>
        </w:rPr>
        <w:t xml:space="preserve"> GitHub Actions: Declarative CI/CD pipeline engine automating build jobs, status badges, and integration testing on Ubuntu-latest runners.</w:t>
      </w:r>
    </w:p>
    <w:p>
      <w:pPr>
        <w:pStyle w:val="ListBullet"/>
        <w:spacing w:before="20" w:after="60" w:line="276" w:lineRule="auto"/>
        <w:jc w:val="both"/>
      </w:pPr>
      <w:r>
        <w:rPr>
          <w:rFonts w:ascii="Calibri" w:hAnsi="Calibri"/>
          <w:b/>
          <w:color w:val="262626"/>
          <w:sz w:val="22"/>
        </w:rPr>
        <w:t xml:space="preserve">• Web Server &amp; API: </w:t>
      </w:r>
      <w:r>
        <w:rPr>
          <w:rFonts w:ascii="Calibri" w:hAnsi="Calibri"/>
          <w:color w:val="262626"/>
          <w:sz w:val="22"/>
        </w:rPr>
        <w:t xml:space="preserve"> FastAPI &amp; Uvicorn: High-throughput asynchronous Python ASGI server powering the AgriGuard AI REST APIs and OpenAPI / Swagger documentation.</w:t>
      </w:r>
    </w:p>
    <w:p>
      <w:pPr>
        <w:pStyle w:val="ListBullet"/>
        <w:spacing w:before="20" w:after="60" w:line="276" w:lineRule="auto"/>
        <w:jc w:val="both"/>
      </w:pPr>
      <w:r>
        <w:rPr>
          <w:rFonts w:ascii="Calibri" w:hAnsi="Calibri"/>
          <w:b/>
          <w:color w:val="262626"/>
          <w:sz w:val="22"/>
        </w:rPr>
        <w:t xml:space="preserve">• Inference Engine: </w:t>
      </w:r>
      <w:r>
        <w:rPr>
          <w:rFonts w:ascii="Calibri" w:hAnsi="Calibri"/>
          <w:color w:val="262626"/>
          <w:sz w:val="22"/>
        </w:rPr>
        <w:t xml:space="preserve"> PyTorch CPU &amp; Torchvision: Optimized deep learning runtime executing multi-label classification models without necessitating bulky GPU/CUDA bloat in deployment.</w:t>
      </w:r>
    </w:p>
    <w:p>
      <w:pPr>
        <w:pStyle w:val="ListBullet"/>
        <w:spacing w:before="20" w:after="60" w:line="276" w:lineRule="auto"/>
        <w:jc w:val="both"/>
      </w:pPr>
      <w:r>
        <w:rPr>
          <w:rFonts w:ascii="Calibri" w:hAnsi="Calibri"/>
          <w:b/>
          <w:color w:val="262626"/>
          <w:sz w:val="22"/>
        </w:rPr>
        <w:t xml:space="preserve">• Base Container OS: </w:t>
      </w:r>
      <w:r>
        <w:rPr>
          <w:rFonts w:ascii="Calibri" w:hAnsi="Calibri"/>
          <w:color w:val="262626"/>
          <w:sz w:val="22"/>
        </w:rPr>
        <w:t xml:space="preserve"> Debian 13 Slim (Trixie/Bookworm): Base operating system distribution providing a minimal security attack surface and compact footprint.</w:t>
      </w:r>
    </w:p>
    <w:p>
      <w:r>
        <w:br w:type="page"/>
      </w:r>
    </w:p>
    <w:p>
      <w:pPr>
        <w:keepNext/>
        <w:spacing w:before="360" w:after="120"/>
      </w:pPr>
      <w:r>
        <w:rPr>
          <w:rFonts w:ascii="Arial" w:hAnsi="Arial"/>
          <w:b/>
          <w:color w:val="1F4E79"/>
          <w:sz w:val="32"/>
        </w:rPr>
        <w:t>3. METHODOLOGY</w:t>
      </w:r>
    </w:p>
    <w:p>
      <w:pPr>
        <w:keepNext/>
        <w:spacing w:before="280" w:after="80"/>
      </w:pPr>
      <w:r>
        <w:rPr>
          <w:rFonts w:ascii="Arial" w:hAnsi="Arial"/>
          <w:b/>
          <w:color w:val="2F5597"/>
          <w:sz w:val="26"/>
        </w:rPr>
        <w:t>3.1 DevOps Lifecycle Strategy</w:t>
      </w:r>
    </w:p>
    <w:p>
      <w:pPr>
        <w:spacing w:before="0" w:after="120" w:line="276" w:lineRule="auto"/>
        <w:jc w:val="both"/>
      </w:pPr>
      <w:r>
        <w:rPr>
          <w:rFonts w:ascii="Calibri" w:hAnsi="Calibri"/>
          <w:color w:val="262626"/>
          <w:sz w:val="22"/>
        </w:rPr>
        <w:t>The engineering lifecycle applied in this project follows the iterative DevOps loop, ensuring continuous synchronization between source development and automated containerized delivery:</w:t>
      </w:r>
    </w:p>
    <w:p>
      <w:pPr>
        <w:pStyle w:val="ListBullet"/>
        <w:spacing w:before="20" w:after="60" w:line="276" w:lineRule="auto"/>
        <w:jc w:val="both"/>
      </w:pPr>
      <w:r>
        <w:rPr>
          <w:rFonts w:ascii="Calibri" w:hAnsi="Calibri"/>
          <w:b/>
          <w:color w:val="262626"/>
          <w:sz w:val="22"/>
        </w:rPr>
        <w:t>1.</w:t>
      </w:r>
      <w:r>
        <w:rPr>
          <w:rFonts w:ascii="Calibri" w:hAnsi="Calibri"/>
          <w:color w:val="262626"/>
          <w:sz w:val="22"/>
        </w:rPr>
        <w:t xml:space="preserve"> Code &amp; Commit: Code and configuration files are maintained in a structured Git workspace. Incremental, atomic commits represent modular infrastructural milestones.</w:t>
      </w:r>
    </w:p>
    <w:p>
      <w:pPr>
        <w:pStyle w:val="ListBullet"/>
        <w:spacing w:before="20" w:after="60" w:line="276" w:lineRule="auto"/>
        <w:jc w:val="both"/>
      </w:pPr>
      <w:r>
        <w:rPr>
          <w:rFonts w:ascii="Calibri" w:hAnsi="Calibri"/>
          <w:b/>
          <w:color w:val="262626"/>
          <w:sz w:val="22"/>
        </w:rPr>
        <w:t>2.</w:t>
      </w:r>
      <w:r>
        <w:rPr>
          <w:rFonts w:ascii="Calibri" w:hAnsi="Calibri"/>
          <w:color w:val="262626"/>
          <w:sz w:val="22"/>
        </w:rPr>
        <w:t xml:space="preserve"> Build &amp; Optimize: Dockerfiles are structured hierarchically to maximize layer caching, prevent redundant downloads, and minimize context transmission via .dockerignore.</w:t>
      </w:r>
    </w:p>
    <w:p>
      <w:pPr>
        <w:pStyle w:val="ListBullet"/>
        <w:spacing w:before="20" w:after="60" w:line="276" w:lineRule="auto"/>
        <w:jc w:val="both"/>
      </w:pPr>
      <w:r>
        <w:rPr>
          <w:rFonts w:ascii="Calibri" w:hAnsi="Calibri"/>
          <w:b/>
          <w:color w:val="262626"/>
          <w:sz w:val="22"/>
        </w:rPr>
        <w:t>3.</w:t>
      </w:r>
      <w:r>
        <w:rPr>
          <w:rFonts w:ascii="Calibri" w:hAnsi="Calibri"/>
          <w:color w:val="262626"/>
          <w:sz w:val="22"/>
        </w:rPr>
        <w:t xml:space="preserve"> Test &amp; Validate: Automated CI pipelines trigger instantly upon commit, executing container builds, network bindings, and endpoint smoke tests.</w:t>
      </w:r>
    </w:p>
    <w:p>
      <w:pPr>
        <w:pStyle w:val="ListBullet"/>
        <w:spacing w:before="20" w:after="60" w:line="276" w:lineRule="auto"/>
        <w:jc w:val="both"/>
      </w:pPr>
      <w:r>
        <w:rPr>
          <w:rFonts w:ascii="Calibri" w:hAnsi="Calibri"/>
          <w:b/>
          <w:color w:val="262626"/>
          <w:sz w:val="22"/>
        </w:rPr>
        <w:t>4.</w:t>
      </w:r>
      <w:r>
        <w:rPr>
          <w:rFonts w:ascii="Calibri" w:hAnsi="Calibri"/>
          <w:color w:val="262626"/>
          <w:sz w:val="22"/>
        </w:rPr>
        <w:t xml:space="preserve"> Package &amp; Release: Validated images are named, tagged (dsproject-api:latest), and made ready for deployment across heterogeneous environments.</w:t>
      </w:r>
    </w:p>
    <w:p>
      <w:pPr>
        <w:pStyle w:val="ListBullet"/>
        <w:spacing w:before="20" w:after="60" w:line="276" w:lineRule="auto"/>
        <w:jc w:val="both"/>
      </w:pPr>
      <w:r>
        <w:rPr>
          <w:rFonts w:ascii="Calibri" w:hAnsi="Calibri"/>
          <w:b/>
          <w:color w:val="262626"/>
          <w:sz w:val="22"/>
        </w:rPr>
        <w:t>5.</w:t>
      </w:r>
      <w:r>
        <w:rPr>
          <w:rFonts w:ascii="Calibri" w:hAnsi="Calibri"/>
          <w:color w:val="262626"/>
          <w:sz w:val="22"/>
        </w:rPr>
        <w:t xml:space="preserve"> Monitor &amp; Maintain: Container runtime logs, error streams, and health check response codes are monitored for operational reliability.</w:t>
      </w:r>
    </w:p>
    <w:p>
      <w:pPr>
        <w:keepNext/>
        <w:spacing w:before="280" w:after="80"/>
      </w:pPr>
      <w:r>
        <w:rPr>
          <w:rFonts w:ascii="Arial" w:hAnsi="Arial"/>
          <w:b/>
          <w:color w:val="2F5597"/>
          <w:sz w:val="26"/>
        </w:rPr>
        <w:t>3.2 Version Control &amp; Trunk-Based Git Workflow</w:t>
      </w:r>
    </w:p>
    <w:p>
      <w:pPr>
        <w:spacing w:before="0" w:after="120" w:line="276" w:lineRule="auto"/>
        <w:jc w:val="both"/>
      </w:pPr>
      <w:r>
        <w:rPr>
          <w:rFonts w:ascii="Calibri" w:hAnsi="Calibri"/>
          <w:color w:val="262626"/>
          <w:sz w:val="22"/>
        </w:rPr>
        <w:t>A streamlined trunk-based development workflow was established. The primary development branch is main, protected and continuously integrated with GitHub Actions. Any commit pushed to main triggers automated validation to guarantee that the primary branch remains in a deployable state at all times.</w:t>
      </w:r>
    </w:p>
    <w:p>
      <w:pPr>
        <w:keepNext/>
        <w:spacing w:before="280" w:after="80"/>
      </w:pPr>
      <w:r>
        <w:rPr>
          <w:rFonts w:ascii="Arial" w:hAnsi="Arial"/>
          <w:b/>
          <w:color w:val="2F5597"/>
          <w:sz w:val="26"/>
        </w:rPr>
        <w:t>3.3 Container Architecture &amp; Build Layer Optimization</w:t>
      </w:r>
    </w:p>
    <w:p>
      <w:pPr>
        <w:spacing w:before="0" w:after="120" w:line="276" w:lineRule="auto"/>
        <w:jc w:val="both"/>
      </w:pPr>
      <w:r>
        <w:rPr>
          <w:rFonts w:ascii="Calibri" w:hAnsi="Calibri"/>
          <w:color w:val="262626"/>
          <w:sz w:val="22"/>
        </w:rPr>
        <w:t>Docker images are constructed as a stack of read-only layers. Each instruction (RUN, COPY, WORKDIR) produces a new immutable layer. In our methodology:</w:t>
      </w:r>
    </w:p>
    <w:p>
      <w:pPr>
        <w:pStyle w:val="ListBullet"/>
        <w:spacing w:before="20" w:after="60" w:line="276" w:lineRule="auto"/>
        <w:jc w:val="both"/>
      </w:pPr>
      <w:r>
        <w:rPr>
          <w:rFonts w:ascii="Calibri" w:hAnsi="Calibri"/>
          <w:b/>
          <w:color w:val="262626"/>
          <w:sz w:val="22"/>
        </w:rPr>
        <w:t xml:space="preserve">• Order of Volatility: </w:t>
      </w:r>
      <w:r>
        <w:rPr>
          <w:rFonts w:ascii="Calibri" w:hAnsi="Calibri"/>
          <w:color w:val="262626"/>
          <w:sz w:val="22"/>
        </w:rPr>
        <w:t xml:space="preserve"> Independent, slowly changing layers (such as OS packages and runtime compilers) are positioned at the top of the Dockerfile so they are cached permanently across builds.</w:t>
      </w:r>
    </w:p>
    <w:p>
      <w:pPr>
        <w:pStyle w:val="ListBullet"/>
        <w:spacing w:before="20" w:after="60" w:line="276" w:lineRule="auto"/>
        <w:jc w:val="both"/>
      </w:pPr>
      <w:r>
        <w:rPr>
          <w:rFonts w:ascii="Calibri" w:hAnsi="Calibri"/>
          <w:b/>
          <w:color w:val="262626"/>
          <w:sz w:val="22"/>
        </w:rPr>
        <w:t xml:space="preserve">• Dependency Isolation: </w:t>
      </w:r>
      <w:r>
        <w:rPr>
          <w:rFonts w:ascii="Calibri" w:hAnsi="Calibri"/>
          <w:color w:val="262626"/>
          <w:sz w:val="22"/>
        </w:rPr>
        <w:t xml:space="preserve"> Package dependency declarations (requirements.txt) are copied and installed prior to copying the application source code. Consequently, editing source code files does not invalidate the multi-minute package installation cache.</w:t>
      </w:r>
    </w:p>
    <w:p>
      <w:pPr>
        <w:pStyle w:val="ListBullet"/>
        <w:spacing w:before="20" w:after="60" w:line="276" w:lineRule="auto"/>
        <w:jc w:val="both"/>
      </w:pPr>
      <w:r>
        <w:rPr>
          <w:rFonts w:ascii="Calibri" w:hAnsi="Calibri"/>
          <w:b/>
          <w:color w:val="262626"/>
          <w:sz w:val="22"/>
        </w:rPr>
        <w:t xml:space="preserve">• Context Pruning: </w:t>
      </w:r>
      <w:r>
        <w:rPr>
          <w:rFonts w:ascii="Calibri" w:hAnsi="Calibri"/>
          <w:color w:val="262626"/>
          <w:sz w:val="22"/>
        </w:rPr>
        <w:t xml:space="preserve"> Transient files, notebooks, virtual environments, raw image datasets, and git metadata are explicitly excluded using .dockerignore, slashing context packaging time from over 11 seconds to 0.1 seconds.</w:t>
      </w:r>
    </w:p>
    <w:p>
      <w:pPr>
        <w:keepNext/>
        <w:spacing w:before="280" w:after="80"/>
      </w:pPr>
      <w:r>
        <w:rPr>
          <w:rFonts w:ascii="Arial" w:hAnsi="Arial"/>
          <w:b/>
          <w:color w:val="2F5597"/>
          <w:sz w:val="26"/>
        </w:rPr>
        <w:t>3.4 Image Footprint &amp; Wheel Dependency Optimization</w:t>
      </w:r>
    </w:p>
    <w:p>
      <w:pPr>
        <w:spacing w:before="0" w:after="120" w:line="276" w:lineRule="auto"/>
        <w:jc w:val="both"/>
      </w:pPr>
      <w:r>
        <w:rPr>
          <w:rFonts w:ascii="Calibri" w:hAnsi="Calibri"/>
          <w:color w:val="262626"/>
          <w:sz w:val="22"/>
        </w:rPr>
        <w:t>Standard PyTorch pip installations default to downloading CUDA-enabled binaries bundled with massive NVIDIA runtime packages (nvidia-cudnn, nvidia-cusparse, nvidia-cublas), inflating image size by over 3.8 GB and causing severe network timeout crashes during container builds. In our methodology, we decoupled inference requirements by explicitly targeting the official PyTorch CPU wheel repository:</w:t>
      </w:r>
    </w:p>
    <w:p>
      <w:pPr>
        <w:spacing w:before="0" w:after="120" w:line="276" w:lineRule="auto"/>
        <w:jc w:val="both"/>
      </w:pPr>
      <w:r>
        <w:rPr>
          <w:rFonts w:ascii="Calibri" w:hAnsi="Calibri"/>
          <w:b/>
          <w:color w:val="262626"/>
          <w:sz w:val="22"/>
        </w:rPr>
        <w:t xml:space="preserve">Targeted Index: </w:t>
      </w:r>
      <w:r>
        <w:rPr>
          <w:rFonts w:ascii="Calibri" w:hAnsi="Calibri"/>
          <w:color w:val="262626"/>
          <w:sz w:val="22"/>
        </w:rPr>
        <w:t>pip install --no-cache-dir torch torchvision --extra-index-url https://download.pytorch.org/whl/cpu</w:t>
      </w:r>
    </w:p>
    <w:p>
      <w:pPr>
        <w:spacing w:before="0" w:after="120" w:line="276" w:lineRule="auto"/>
        <w:jc w:val="both"/>
      </w:pPr>
      <w:r>
        <w:rPr>
          <w:rFonts w:ascii="Calibri" w:hAnsi="Calibri"/>
          <w:color w:val="262626"/>
          <w:sz w:val="22"/>
        </w:rPr>
        <w:t>This strategic engineering decision reduced the PyTorch download footprint from 888 MB + 2.5 GB CUDA libraries down to a compact 170 MB wheel, eliminating build timeouts and yielding an extraordinarily compact production container of only 749 MB.</w:t>
      </w:r>
    </w:p>
    <w:p>
      <w:pPr>
        <w:keepNext/>
        <w:spacing w:before="280" w:after="80"/>
      </w:pPr>
      <w:r>
        <w:rPr>
          <w:rFonts w:ascii="Arial" w:hAnsi="Arial"/>
          <w:b/>
          <w:color w:val="2F5597"/>
          <w:sz w:val="26"/>
        </w:rPr>
        <w:t>3.5 Automated Verification &amp; Smoke Testing Methodology</w:t>
      </w:r>
    </w:p>
    <w:p>
      <w:pPr>
        <w:spacing w:before="0" w:after="120" w:line="276" w:lineRule="auto"/>
        <w:jc w:val="both"/>
      </w:pPr>
      <w:r>
        <w:rPr>
          <w:rFonts w:ascii="Calibri" w:hAnsi="Calibri"/>
          <w:color w:val="262626"/>
          <w:sz w:val="22"/>
        </w:rPr>
        <w:t>Deployments cannot be assumed functional merely because a container build succeeds. Our methodology incorporates active container smoke testing within the CI pipeline. Once the container is spawned, a loop executes health checks against http://localhost:8000/docs. The workflow polls the endpoint for up to 30 seconds with 2-second backoffs, asserting that FastAPI initializes and Uvicorn responds with HTTP status 200 before certifying the build.</w:t>
      </w:r>
    </w:p>
    <w:p>
      <w:r>
        <w:br w:type="page"/>
      </w:r>
    </w:p>
    <w:p>
      <w:pPr>
        <w:keepNext/>
        <w:spacing w:before="360" w:after="120"/>
      </w:pPr>
      <w:r>
        <w:rPr>
          <w:rFonts w:ascii="Arial" w:hAnsi="Arial"/>
          <w:b/>
          <w:color w:val="1F4E79"/>
          <w:sz w:val="32"/>
        </w:rPr>
        <w:t>4. SYSTEM DESIGN</w:t>
      </w:r>
    </w:p>
    <w:p>
      <w:pPr>
        <w:keepNext/>
        <w:spacing w:before="280" w:after="80"/>
      </w:pPr>
      <w:r>
        <w:rPr>
          <w:rFonts w:ascii="Arial" w:hAnsi="Arial"/>
          <w:b/>
          <w:color w:val="2F5597"/>
          <w:sz w:val="26"/>
        </w:rPr>
        <w:t>4.1 High-Level DevOps Architecture &amp; Flow</w:t>
      </w:r>
    </w:p>
    <w:p>
      <w:pPr>
        <w:spacing w:before="0" w:after="120" w:line="276" w:lineRule="auto"/>
        <w:jc w:val="both"/>
      </w:pPr>
      <w:r>
        <w:rPr>
          <w:rFonts w:ascii="Calibri" w:hAnsi="Calibri"/>
          <w:color w:val="262626"/>
          <w:sz w:val="22"/>
        </w:rPr>
        <w:t>The end-to-end DevOps pipeline visualizes the automated transition from local development to cloud-native continuous integration and runtime containerization:</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1D5DB"/>
              <w:left w:val="single" w:sz="24" w:space="0" w:color="1F4E79"/>
              <w:bottom w:val="single" w:sz="4" w:space="0" w:color="D1D5DB"/>
              <w:right w:val="single" w:sz="4" w:space="0" w:color="D1D5DB"/>
            </w:tcBorders>
          </w:tcPr>
          <w:p>
            <w:pPr>
              <w:spacing w:before="40" w:after="40" w:line="252" w:lineRule="auto"/>
            </w:pPr>
            <w:r>
              <w:rPr>
                <w:rFonts w:ascii="Consolas" w:hAnsi="Consolas"/>
                <w:color w:val="1F2937"/>
                <w:sz w:val="18"/>
              </w:rPr>
              <w:t>+-------------------------+         +-------------------------------+</w:t>
              <w:br/>
              <w:t>|  Local Developer        |         |  Remote GitHub Repository     |</w:t>
              <w:br/>
              <w:t>|  Workspace (ds.project) | =====&gt;  |  github.com/Raghukn21/        |</w:t>
              <w:br/>
              <w:t>|  - Source Code          |  Git    |  ds.project.git (main branch) |</w:t>
              <w:br/>
              <w:t>|  - Dockerfile           |  Push   +---------------+---------------+</w:t>
              <w:br/>
              <w:t>|  - docker-compose.yml   |                         |</w:t>
              <w:br/>
              <w:t>+-------------------------+                         | Webhook Event</w:t>
              <w:br/>
              <w:t xml:space="preserve">                                                    v</w:t>
              <w:br/>
              <w:t>+-------------------------------------------------------------------+</w:t>
              <w:br/>
              <w:t>|  GitHub Actions CI Runner (ubuntu-latest)                         |</w:t>
              <w:br/>
              <w:t>|  +-------------------------------------------------------------+  |</w:t>
              <w:br/>
              <w:t>|  | 1. Checkout Repository (actions/checkout@v4)                |  |</w:t>
              <w:br/>
              <w:t>|  +-------------------------------------------------------------+  |</w:t>
              <w:br/>
              <w:t>|  | 2. Set Up Buildx Engine (docker/setup-buildx-action@v3)     |  |</w:t>
              <w:br/>
              <w:t>|  +-------------------------------------------------------------+  |</w:t>
              <w:br/>
              <w:t>|  | 3. Build Container Image (docker build -t ds_project_api .) |  |</w:t>
              <w:br/>
              <w:t>|  +-------------------------------------------------------------+  |</w:t>
              <w:br/>
              <w:t>|  | 4. Instantiate Container &amp; Bind Port 8000:8000              |  |</w:t>
              <w:br/>
              <w:t>|  +-------------------------------------------------------------+  |</w:t>
              <w:br/>
              <w:t>|  | 5. Automated Polling Smoke Test (curl -I /docs == 200 OK)   |  |</w:t>
              <w:br/>
              <w:t>|  +-------------------------------------------------------------+  |</w:t>
              <w:br/>
              <w:t>|  | 6. Container Telemetry, Logs Extraction &amp; Clean Shutdown    |  |</w:t>
              <w:br/>
              <w:t>|  +-------------------------------------------------------------+  |</w:t>
              <w:br/>
              <w:t>+-----------------------------------+-------------------------------+</w:t>
              <w:br/>
              <w:t xml:space="preserve">                                    | Build Passed (Green Checkmark)</w:t>
              <w:br/>
              <w:t xml:space="preserve">                                    v</w:t>
              <w:br/>
              <w:t>+-------------------------------------------------------------------+</w:t>
              <w:br/>
              <w:t>|  Production / Host Deployment Environment                         |</w:t>
              <w:br/>
              <w:t>|  - Container Name: ds_project_api                                 |</w:t>
              <w:br/>
              <w:t>|  - Runtime: Uvicorn ASGI on port 8000                             |</w:t>
              <w:br/>
              <w:t>|  - Interfaces: REST API (/predict, /advisory) &amp; UI (/frontend)    |</w:t>
              <w:br/>
              <w:t>+-------------------------------------------------------------------+</w:t>
            </w:r>
          </w:p>
        </w:tc>
      </w:tr>
    </w:tbl>
    <w:p/>
    <w:p>
      <w:pPr>
        <w:keepNext/>
        <w:spacing w:before="280" w:after="80"/>
      </w:pPr>
      <w:r>
        <w:rPr>
          <w:rFonts w:ascii="Arial" w:hAnsi="Arial"/>
          <w:b/>
          <w:color w:val="2F5597"/>
          <w:sz w:val="26"/>
        </w:rPr>
        <w:t>4.2 Container Topology &amp; Port Mapping Architecture</w:t>
      </w:r>
    </w:p>
    <w:p>
      <w:pPr>
        <w:spacing w:before="0" w:after="120" w:line="276" w:lineRule="auto"/>
        <w:jc w:val="both"/>
      </w:pPr>
      <w:r>
        <w:rPr>
          <w:rFonts w:ascii="Calibri" w:hAnsi="Calibri"/>
          <w:color w:val="262626"/>
          <w:sz w:val="22"/>
        </w:rPr>
        <w:t>The containerized runtime encapsulates all dependencies within an isolated bridge network (dsproject_default). Host port 8000 is mapped directly to container port 8000 (0.0.0.0:8000-&gt;8000/tcp), exposing the ASGI server to host browsers while isolating filesystem access.</w:t>
      </w:r>
    </w:p>
    <w:p>
      <w:pPr>
        <w:keepNext/>
        <w:spacing w:before="280" w:after="80"/>
      </w:pPr>
      <w:r>
        <w:rPr>
          <w:rFonts w:ascii="Arial" w:hAnsi="Arial"/>
          <w:b/>
          <w:color w:val="2F5597"/>
          <w:sz w:val="26"/>
        </w:rPr>
        <w:t>4.3 GitHub Actions Workflow Architecture</w:t>
      </w:r>
    </w:p>
    <w:p>
      <w:pPr>
        <w:spacing w:before="0" w:after="120" w:line="276" w:lineRule="auto"/>
        <w:jc w:val="both"/>
      </w:pPr>
      <w:r>
        <w:rPr>
          <w:rFonts w:ascii="Calibri" w:hAnsi="Calibri"/>
          <w:color w:val="262626"/>
          <w:sz w:val="22"/>
        </w:rPr>
        <w:t>The declarative pipeline specification (docker-ci.yml) is structured with granular execution steps, strict error-handling (set -e), conditional execution blocks (if: always()), and automated artifact cleanup to prevent runner resource exhaustion.</w:t>
      </w:r>
    </w:p>
    <w:p>
      <w:pPr>
        <w:keepNext/>
        <w:spacing w:before="280" w:after="80"/>
      </w:pPr>
      <w:r>
        <w:rPr>
          <w:rFonts w:ascii="Arial" w:hAnsi="Arial"/>
          <w:b/>
          <w:color w:val="2F5597"/>
          <w:sz w:val="26"/>
        </w:rPr>
        <w:t>4.4 Context Isolation &amp; .dockerignore Design</w:t>
      </w:r>
    </w:p>
    <w:p>
      <w:pPr>
        <w:spacing w:before="0" w:after="120" w:line="276" w:lineRule="auto"/>
        <w:jc w:val="both"/>
      </w:pPr>
      <w:r>
        <w:rPr>
          <w:rFonts w:ascii="Calibri" w:hAnsi="Calibri"/>
          <w:color w:val="262626"/>
          <w:sz w:val="22"/>
        </w:rPr>
        <w:t>The .dockerignore file acts as a security and performance filter. By excluding .git/, .vscode/, data/raw/, experiments/checkpoints/, and compiled bytecodes (*.pyc), sensitive development data and bulky training images are prevented from leaking into the container image.</w:t>
      </w:r>
    </w:p>
    <w:p>
      <w:r>
        <w:br w:type="page"/>
      </w:r>
    </w:p>
    <w:p>
      <w:pPr>
        <w:keepNext/>
        <w:spacing w:before="360" w:after="120"/>
      </w:pPr>
      <w:r>
        <w:rPr>
          <w:rFonts w:ascii="Arial" w:hAnsi="Arial"/>
          <w:b/>
          <w:color w:val="1F4E79"/>
          <w:sz w:val="32"/>
        </w:rPr>
        <w:t>5. IMPLEMENTATION</w:t>
      </w:r>
    </w:p>
    <w:p>
      <w:pPr>
        <w:keepNext/>
        <w:spacing w:before="280" w:after="80"/>
      </w:pPr>
      <w:r>
        <w:rPr>
          <w:rFonts w:ascii="Arial" w:hAnsi="Arial"/>
          <w:b/>
          <w:color w:val="2F5597"/>
          <w:sz w:val="26"/>
        </w:rPr>
        <w:t>5.1 Git Repository Initialization and Versioning</w:t>
      </w:r>
    </w:p>
    <w:p>
      <w:pPr>
        <w:spacing w:before="0" w:after="120" w:line="276" w:lineRule="auto"/>
        <w:jc w:val="both"/>
      </w:pPr>
      <w:r>
        <w:rPr>
          <w:rFonts w:ascii="Calibri" w:hAnsi="Calibri"/>
          <w:color w:val="262626"/>
          <w:sz w:val="22"/>
        </w:rPr>
        <w:t>The project codebase was decoupled from the parent directory and initialized as a dedicated, independent Git repository. The remote origin was linked to the designated GitHub repository:</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1D5DB"/>
              <w:left w:val="single" w:sz="24" w:space="0" w:color="1F4E79"/>
              <w:bottom w:val="single" w:sz="4" w:space="0" w:color="D1D5DB"/>
              <w:right w:val="single" w:sz="4" w:space="0" w:color="D1D5DB"/>
            </w:tcBorders>
          </w:tcPr>
          <w:p>
            <w:pPr>
              <w:spacing w:before="40" w:after="40" w:line="252" w:lineRule="auto"/>
            </w:pPr>
            <w:r>
              <w:rPr>
                <w:rFonts w:ascii="Consolas" w:hAnsi="Consolas"/>
                <w:color w:val="1F2937"/>
                <w:sz w:val="18"/>
              </w:rPr>
              <w:t># Git Initialization and Remote Connection</w:t>
              <w:br/>
              <w:t>git init</w:t>
              <w:br/>
              <w:t>git add .</w:t>
              <w:br/>
              <w:t>git commit -m "Initial commit with Dockerfile and docker-compose"</w:t>
              <w:br/>
              <w:t>git branch -M main</w:t>
              <w:br/>
              <w:t>git remote add origin https://github.com/Raghukn21/ds.project.git</w:t>
              <w:br/>
              <w:t>git push -u origin main</w:t>
            </w:r>
          </w:p>
        </w:tc>
      </w:tr>
    </w:tbl>
    <w:p/>
    <w:p>
      <w:pPr>
        <w:keepNext/>
        <w:spacing w:before="280" w:after="80"/>
      </w:pPr>
      <w:r>
        <w:rPr>
          <w:rFonts w:ascii="Arial" w:hAnsi="Arial"/>
          <w:b/>
          <w:color w:val="2F5597"/>
          <w:sz w:val="26"/>
        </w:rPr>
        <w:t>5.2 Dockerfile Construction &amp; Layer Caching Strategy</w:t>
      </w:r>
    </w:p>
    <w:p>
      <w:pPr>
        <w:spacing w:before="0" w:after="120" w:line="276" w:lineRule="auto"/>
        <w:jc w:val="both"/>
      </w:pPr>
      <w:r>
        <w:rPr>
          <w:rFonts w:ascii="Calibri" w:hAnsi="Calibri"/>
          <w:color w:val="262626"/>
          <w:sz w:val="22"/>
        </w:rPr>
        <w:t>The final, optimized production Dockerfile incorporates multi-stage considerations, system library installations, pip upgrades, PyTorch CPU wheel provisioning, and Uvicorn runtime execution:</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1D5DB"/>
              <w:left w:val="single" w:sz="24" w:space="0" w:color="1F4E79"/>
              <w:bottom w:val="single" w:sz="4" w:space="0" w:color="D1D5DB"/>
              <w:right w:val="single" w:sz="4" w:space="0" w:color="D1D5DB"/>
            </w:tcBorders>
          </w:tcPr>
          <w:p>
            <w:pPr>
              <w:spacing w:before="40" w:after="40" w:line="252" w:lineRule="auto"/>
            </w:pPr>
            <w:r>
              <w:rPr>
                <w:rFonts w:ascii="Consolas" w:hAnsi="Consolas"/>
                <w:color w:val="1F2937"/>
                <w:sz w:val="18"/>
              </w:rPr>
              <w:t>FROM python:3.9-slim</w:t>
              <w:br/>
              <w:br/>
              <w:t>WORKDIR /app</w:t>
              <w:br/>
              <w:br/>
              <w:t># Install system dependencies for OpenCV and image processing</w:t>
              <w:br/>
              <w:t>RUN apt-get update &amp;&amp; apt-get install -y --no-install-recommends \</w:t>
              <w:br/>
              <w:t xml:space="preserve">    libgl1 \</w:t>
              <w:br/>
              <w:t xml:space="preserve">    libglib2.0-0 \</w:t>
              <w:br/>
              <w:t xml:space="preserve">    &amp;&amp; rm -rf /var/lib/apt/lists/*</w:t>
              <w:br/>
              <w:br/>
              <w:t>COPY requirements.txt .</w:t>
              <w:br/>
              <w:br/>
              <w:t># Upgrade pip to avoid metadata parsing bugs in older versions</w:t>
              <w:br/>
              <w:t>RUN pip install --no-cache-dir --upgrade pip</w:t>
              <w:br/>
              <w:br/>
              <w:t># Install CPU version of PyTorch using extra-index-url to avoid &gt;3GB CUDA download</w:t>
              <w:br/>
              <w:t>RUN pip install --no-cache-dir torch torchvision --extra-index-url https://download.pytorch.org/whl/cpu</w:t>
              <w:br/>
              <w:br/>
              <w:t># Install remaining application dependencies</w:t>
              <w:br/>
              <w:t>RUN pip install --default-timeout=1000 --no-cache-dir -r requirements.txt</w:t>
              <w:br/>
              <w:br/>
              <w:t>COPY . .</w:t>
              <w:br/>
              <w:br/>
              <w:t># Expose the FastAPI port</w:t>
              <w:br/>
              <w:t>EXPOSE 8000</w:t>
              <w:br/>
              <w:br/>
              <w:t># Set Python path for module resolution</w:t>
              <w:br/>
              <w:t>ENV PYTHONPATH=/app</w:t>
              <w:br/>
              <w:br/>
              <w:t># Command to run the application</w:t>
              <w:br/>
              <w:t>CMD ["uvicorn", "api.app:app", "--host", "0.0.0.0", "--port", "8000"]</w:t>
            </w:r>
          </w:p>
        </w:tc>
      </w:tr>
    </w:tbl>
    <w:p/>
    <w:p>
      <w:pPr>
        <w:keepNext/>
        <w:spacing w:before="280" w:after="80"/>
      </w:pPr>
      <w:r>
        <w:rPr>
          <w:rFonts w:ascii="Arial" w:hAnsi="Arial"/>
          <w:b/>
          <w:color w:val="2F5597"/>
          <w:sz w:val="26"/>
        </w:rPr>
        <w:t>5.3 Multi-Container Orchestration via Docker Compose</w:t>
      </w:r>
    </w:p>
    <w:p>
      <w:pPr>
        <w:spacing w:before="0" w:after="120" w:line="276" w:lineRule="auto"/>
        <w:jc w:val="both"/>
      </w:pPr>
      <w:r>
        <w:rPr>
          <w:rFonts w:ascii="Calibri" w:hAnsi="Calibri"/>
          <w:color w:val="262626"/>
          <w:sz w:val="22"/>
        </w:rPr>
        <w:t>To streamline developer experience and ensure one-command environment reproduction, docker-compose.yml was implemented:</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1D5DB"/>
              <w:left w:val="single" w:sz="24" w:space="0" w:color="1F4E79"/>
              <w:bottom w:val="single" w:sz="4" w:space="0" w:color="D1D5DB"/>
              <w:right w:val="single" w:sz="4" w:space="0" w:color="D1D5DB"/>
            </w:tcBorders>
          </w:tcPr>
          <w:p>
            <w:pPr>
              <w:spacing w:before="40" w:after="40" w:line="252" w:lineRule="auto"/>
            </w:pPr>
            <w:r>
              <w:rPr>
                <w:rFonts w:ascii="Consolas" w:hAnsi="Consolas"/>
                <w:color w:val="1F2937"/>
                <w:sz w:val="18"/>
              </w:rPr>
              <w:t>services:</w:t>
              <w:br/>
              <w:t xml:space="preserve">  api:</w:t>
              <w:br/>
              <w:t xml:space="preserve">    container_name: ds_project_api</w:t>
              <w:br/>
              <w:t xml:space="preserve">    build: .</w:t>
              <w:br/>
              <w:t xml:space="preserve">    ports:</w:t>
              <w:br/>
              <w:t xml:space="preserve">      - "8000:8000"</w:t>
              <w:br/>
              <w:t xml:space="preserve">    volumes:</w:t>
              <w:br/>
              <w:t xml:space="preserve">      - .:/app</w:t>
            </w:r>
          </w:p>
        </w:tc>
      </w:tr>
    </w:tbl>
    <w:p/>
    <w:p>
      <w:pPr>
        <w:keepNext/>
        <w:spacing w:before="280" w:after="80"/>
      </w:pPr>
      <w:r>
        <w:rPr>
          <w:rFonts w:ascii="Arial" w:hAnsi="Arial"/>
          <w:b/>
          <w:color w:val="2F5597"/>
          <w:sz w:val="26"/>
        </w:rPr>
        <w:t>5.4 CI/CD Pipeline Implementation (.github/workflows/docker-ci.yml)</w:t>
      </w:r>
    </w:p>
    <w:p>
      <w:pPr>
        <w:spacing w:before="0" w:after="120" w:line="276" w:lineRule="auto"/>
        <w:jc w:val="both"/>
      </w:pPr>
      <w:r>
        <w:rPr>
          <w:rFonts w:ascii="Calibri" w:hAnsi="Calibri"/>
          <w:color w:val="262626"/>
          <w:sz w:val="22"/>
        </w:rPr>
        <w:t>The automated GitHub Actions workflow was authored to handle automated testing on the GitHub cloud infrastructure:</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1D5DB"/>
              <w:left w:val="single" w:sz="24" w:space="0" w:color="1F4E79"/>
              <w:bottom w:val="single" w:sz="4" w:space="0" w:color="D1D5DB"/>
              <w:right w:val="single" w:sz="4" w:space="0" w:color="D1D5DB"/>
            </w:tcBorders>
          </w:tcPr>
          <w:p>
            <w:pPr>
              <w:spacing w:before="40" w:after="40" w:line="252" w:lineRule="auto"/>
            </w:pPr>
            <w:r>
              <w:rPr>
                <w:rFonts w:ascii="Consolas" w:hAnsi="Consolas"/>
                <w:color w:val="1F2937"/>
                <w:sz w:val="18"/>
              </w:rPr>
              <w:t>name: Build and Test Docker Container</w:t>
              <w:br/>
              <w:br/>
              <w:t>on:</w:t>
              <w:br/>
              <w:t xml:space="preserve">  push:</w:t>
              <w:br/>
              <w:t xml:space="preserve">    branches: [ "main" ]</w:t>
              <w:br/>
              <w:t xml:space="preserve">  pull_request:</w:t>
              <w:br/>
              <w:t xml:space="preserve">    branches: [ "main" ]</w:t>
              <w:br/>
              <w:t xml:space="preserve">  workflow_dispatch:</w:t>
              <w:br/>
              <w:br/>
              <w:t>jobs:</w:t>
              <w:br/>
              <w:t xml:space="preserve">  docker-build-test:</w:t>
              <w:br/>
              <w:t xml:space="preserve">    name: Docker Build &amp; Smoke Test</w:t>
              <w:br/>
              <w:t xml:space="preserve">    runs-on: ubuntu-latest</w:t>
              <w:br/>
              <w:br/>
              <w:t xml:space="preserve">    steps:</w:t>
              <w:br/>
              <w:t xml:space="preserve">      - name: Checkout Repository</w:t>
              <w:br/>
              <w:t xml:space="preserve">        uses: actions/checkout@v4</w:t>
              <w:br/>
              <w:br/>
              <w:t xml:space="preserve">      - name: Set up Docker Buildx</w:t>
              <w:br/>
              <w:t xml:space="preserve">        uses: docker/setup-buildx-action@v3</w:t>
              <w:br/>
              <w:br/>
              <w:t xml:space="preserve">      - name: Build Docker Image</w:t>
              <w:br/>
              <w:t xml:space="preserve">        run: |</w:t>
              <w:br/>
              <w:t xml:space="preserve">          docker build -t ds_project_api .</w:t>
              <w:br/>
              <w:br/>
              <w:t xml:space="preserve">      - name: Run Container</w:t>
              <w:br/>
              <w:t xml:space="preserve">        run: |</w:t>
              <w:br/>
              <w:t xml:space="preserve">          docker run -d --name test_api -p 8000:8000 ds_project_api</w:t>
              <w:br/>
              <w:t xml:space="preserve">          for i in {1..30}; do</w:t>
              <w:br/>
              <w:t xml:space="preserve">            if curl -s -f http://localhost:8000/docs &gt; /dev/null; then</w:t>
              <w:br/>
              <w:t xml:space="preserve">              echo "FastAPI is up and responding!"</w:t>
              <w:br/>
              <w:t xml:space="preserve">              break</w:t>
              <w:br/>
              <w:t xml:space="preserve">            fi</w:t>
              <w:br/>
              <w:t xml:space="preserve">            echo "Waiting for container service to be ready... ($i/30)"</w:t>
              <w:br/>
              <w:t xml:space="preserve">            sleep 2</w:t>
              <w:br/>
              <w:t xml:space="preserve">          done</w:t>
              <w:br/>
              <w:br/>
              <w:t xml:space="preserve">      - name: Verify Container Health &amp; Logs</w:t>
              <w:br/>
              <w:t xml:space="preserve">        run: |</w:t>
              <w:br/>
              <w:t xml:space="preserve">          echo "=== Container status ==="</w:t>
              <w:br/>
              <w:t xml:space="preserve">          docker ps -a</w:t>
              <w:br/>
              <w:t xml:space="preserve">          echo "=== Container logs ==="</w:t>
              <w:br/>
              <w:t xml:space="preserve">          docker logs test_api</w:t>
              <w:br/>
              <w:t xml:space="preserve">          echo "=== Testing /docs endpoint ==="</w:t>
              <w:br/>
              <w:t xml:space="preserve">          curl -I http://localhost:8000/docs</w:t>
              <w:br/>
              <w:br/>
              <w:t xml:space="preserve">      - name: Stop Container</w:t>
              <w:br/>
              <w:t xml:space="preserve">        if: always()</w:t>
              <w:br/>
              <w:t xml:space="preserve">        run: |</w:t>
              <w:br/>
              <w:t xml:space="preserve">          docker stop test_api || true</w:t>
              <w:br/>
              <w:t xml:space="preserve">          docker rm test_api || true</w:t>
            </w:r>
          </w:p>
        </w:tc>
      </w:tr>
    </w:tbl>
    <w:p/>
    <w:p>
      <w:pPr>
        <w:keepNext/>
        <w:spacing w:before="280" w:after="80"/>
      </w:pPr>
      <w:r>
        <w:rPr>
          <w:rFonts w:ascii="Arial" w:hAnsi="Arial"/>
          <w:b/>
          <w:color w:val="2F5597"/>
          <w:sz w:val="26"/>
        </w:rPr>
        <w:t>5.5 Engineering Challenges, Root Cause Analysis &amp; Resolutions</w:t>
      </w:r>
    </w:p>
    <w:p>
      <w:pPr>
        <w:spacing w:before="0" w:after="120" w:line="276" w:lineRule="auto"/>
        <w:jc w:val="both"/>
      </w:pPr>
      <w:r>
        <w:rPr>
          <w:rFonts w:ascii="Calibri" w:hAnsi="Calibri"/>
          <w:color w:val="262626"/>
          <w:sz w:val="22"/>
        </w:rPr>
        <w:t>During the implementation of the DevOps pipeline, four critical engineering hurdles were diagnosed and systematically resolved:</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80" w:type="dxa"/>
              <w:bottom w:w="80" w:type="dxa"/>
              <w:left w:w="100" w:type="dxa"/>
              <w:right w:w="100" w:type="dxa"/>
            </w:tcMar>
          </w:tcPr>
          <w:p>
            <w:r>
              <w:rPr>
                <w:rFonts w:ascii="Arial" w:hAnsi="Arial"/>
                <w:b/>
                <w:color w:val="FFFFFF"/>
                <w:sz w:val="20"/>
              </w:rPr>
              <w:t>Engineering Obstacle</w:t>
            </w:r>
          </w:p>
        </w:tc>
        <w:tc>
          <w:tcPr>
            <w:tcW w:type="dxa" w:w="3120"/>
            <w:shd w:fill="1F4E79"/>
            <w:tcMar>
              <w:top w:w="80" w:type="dxa"/>
              <w:bottom w:w="80" w:type="dxa"/>
              <w:left w:w="100" w:type="dxa"/>
              <w:right w:w="100" w:type="dxa"/>
            </w:tcMar>
          </w:tcPr>
          <w:p>
            <w:r>
              <w:rPr>
                <w:rFonts w:ascii="Arial" w:hAnsi="Arial"/>
                <w:b/>
                <w:color w:val="FFFFFF"/>
                <w:sz w:val="20"/>
              </w:rPr>
              <w:t>Root Cause Analysis</w:t>
            </w:r>
          </w:p>
        </w:tc>
        <w:tc>
          <w:tcPr>
            <w:tcW w:type="dxa" w:w="3120"/>
            <w:shd w:fill="1F4E79"/>
            <w:tcMar>
              <w:top w:w="80" w:type="dxa"/>
              <w:bottom w:w="80" w:type="dxa"/>
              <w:left w:w="100" w:type="dxa"/>
              <w:right w:w="100" w:type="dxa"/>
            </w:tcMar>
          </w:tcPr>
          <w:p>
            <w:r>
              <w:rPr>
                <w:rFonts w:ascii="Arial" w:hAnsi="Arial"/>
                <w:b/>
                <w:color w:val="FFFFFF"/>
                <w:sz w:val="20"/>
              </w:rPr>
              <w:t>DevOps Remediation Applied</w:t>
            </w:r>
          </w:p>
        </w:tc>
      </w:tr>
      <w:tr>
        <w:tc>
          <w:tcPr>
            <w:tcW w:type="dxa" w:w="3120"/>
            <w:shd w:fill="F9FAFB"/>
            <w:tcMar>
              <w:top w:w="60" w:type="dxa"/>
              <w:bottom w:w="60" w:type="dxa"/>
              <w:left w:w="100" w:type="dxa"/>
              <w:right w:w="100" w:type="dxa"/>
            </w:tcMar>
          </w:tcPr>
          <w:p>
            <w:r>
              <w:rPr>
                <w:rFonts w:ascii="Calibri" w:hAnsi="Calibri"/>
                <w:b/>
                <w:color w:val="262626"/>
                <w:sz w:val="19"/>
              </w:rPr>
              <w:t>Missing Debian Package 'libgl1-mesa-glx'</w:t>
            </w:r>
          </w:p>
        </w:tc>
        <w:tc>
          <w:tcPr>
            <w:tcW w:type="dxa" w:w="3120"/>
            <w:shd w:fill="F9FAFB"/>
            <w:tcMar>
              <w:top w:w="60" w:type="dxa"/>
              <w:bottom w:w="60" w:type="dxa"/>
              <w:left w:w="100" w:type="dxa"/>
              <w:right w:w="100" w:type="dxa"/>
            </w:tcMar>
          </w:tcPr>
          <w:p>
            <w:r>
              <w:rPr>
                <w:rFonts w:ascii="Calibri" w:hAnsi="Calibri"/>
                <w:color w:val="262626"/>
                <w:sz w:val="19"/>
              </w:rPr>
              <w:t>Debian 13 (Trixie) obsoleted the legacy Mesa package name.</w:t>
            </w:r>
          </w:p>
        </w:tc>
        <w:tc>
          <w:tcPr>
            <w:tcW w:type="dxa" w:w="3120"/>
            <w:shd w:fill="F9FAFB"/>
            <w:tcMar>
              <w:top w:w="60" w:type="dxa"/>
              <w:bottom w:w="60" w:type="dxa"/>
              <w:left w:w="100" w:type="dxa"/>
              <w:right w:w="100" w:type="dxa"/>
            </w:tcMar>
          </w:tcPr>
          <w:p>
            <w:r>
              <w:rPr>
                <w:rFonts w:ascii="Calibri" w:hAnsi="Calibri"/>
                <w:color w:val="262626"/>
                <w:sz w:val="19"/>
              </w:rPr>
              <w:t>Substituted with modern 'libgl1' and 'libglib2.0-0' packages in apt-get.</w:t>
            </w:r>
          </w:p>
        </w:tc>
      </w:tr>
      <w:tr>
        <w:tc>
          <w:tcPr>
            <w:tcW w:type="dxa" w:w="3120"/>
            <w:shd w:fill="FFFFFF"/>
            <w:tcMar>
              <w:top w:w="60" w:type="dxa"/>
              <w:bottom w:w="60" w:type="dxa"/>
              <w:left w:w="100" w:type="dxa"/>
              <w:right w:w="100" w:type="dxa"/>
            </w:tcMar>
          </w:tcPr>
          <w:p>
            <w:r>
              <w:rPr>
                <w:rFonts w:ascii="Calibri" w:hAnsi="Calibri"/>
                <w:b/>
                <w:color w:val="262626"/>
                <w:sz w:val="19"/>
              </w:rPr>
              <w:t>PyTorch Socket Read Timeout</w:t>
            </w:r>
          </w:p>
        </w:tc>
        <w:tc>
          <w:tcPr>
            <w:tcW w:type="dxa" w:w="3120"/>
            <w:shd w:fill="FFFFFF"/>
            <w:tcMar>
              <w:top w:w="60" w:type="dxa"/>
              <w:bottom w:w="60" w:type="dxa"/>
              <w:left w:w="100" w:type="dxa"/>
              <w:right w:w="100" w:type="dxa"/>
            </w:tcMar>
          </w:tcPr>
          <w:p>
            <w:r>
              <w:rPr>
                <w:rFonts w:ascii="Calibri" w:hAnsi="Calibri"/>
                <w:color w:val="262626"/>
                <w:sz w:val="19"/>
              </w:rPr>
              <w:t>Standard PyTorch wheel bundle (~900MB + 2.5GB CUDA) exhausted default 60s pip socket timer.</w:t>
            </w:r>
          </w:p>
        </w:tc>
        <w:tc>
          <w:tcPr>
            <w:tcW w:type="dxa" w:w="3120"/>
            <w:shd w:fill="FFFFFF"/>
            <w:tcMar>
              <w:top w:w="60" w:type="dxa"/>
              <w:bottom w:w="60" w:type="dxa"/>
              <w:left w:w="100" w:type="dxa"/>
              <w:right w:w="100" w:type="dxa"/>
            </w:tcMar>
          </w:tcPr>
          <w:p>
            <w:r>
              <w:rPr>
                <w:rFonts w:ascii="Calibri" w:hAnsi="Calibri"/>
                <w:color w:val="262626"/>
                <w:sz w:val="19"/>
              </w:rPr>
              <w:t>Configured '--default-timeout=1000' and switched to PyTorch CPU wheel repo (~170MB).</w:t>
            </w:r>
          </w:p>
        </w:tc>
      </w:tr>
      <w:tr>
        <w:tc>
          <w:tcPr>
            <w:tcW w:type="dxa" w:w="3120"/>
            <w:shd w:fill="F9FAFB"/>
            <w:tcMar>
              <w:top w:w="60" w:type="dxa"/>
              <w:bottom w:w="60" w:type="dxa"/>
              <w:left w:w="100" w:type="dxa"/>
              <w:right w:w="100" w:type="dxa"/>
            </w:tcMar>
          </w:tcPr>
          <w:p>
            <w:r>
              <w:rPr>
                <w:rFonts w:ascii="Calibri" w:hAnsi="Calibri"/>
                <w:b/>
                <w:color w:val="262626"/>
                <w:sz w:val="19"/>
              </w:rPr>
              <w:t>Typing-Extensions Metadata Mismatch</w:t>
            </w:r>
          </w:p>
        </w:tc>
        <w:tc>
          <w:tcPr>
            <w:tcW w:type="dxa" w:w="3120"/>
            <w:shd w:fill="F9FAFB"/>
            <w:tcMar>
              <w:top w:w="60" w:type="dxa"/>
              <w:bottom w:w="60" w:type="dxa"/>
              <w:left w:w="100" w:type="dxa"/>
              <w:right w:w="100" w:type="dxa"/>
            </w:tcMar>
          </w:tcPr>
          <w:p>
            <w:r>
              <w:rPr>
                <w:rFonts w:ascii="Calibri" w:hAnsi="Calibri"/>
                <w:color w:val="262626"/>
                <w:sz w:val="19"/>
              </w:rPr>
              <w:t>Pip v23.0.1 failed parsing hyphens vs underscores in typing_extensions 4.16.0 metadata.</w:t>
            </w:r>
          </w:p>
        </w:tc>
        <w:tc>
          <w:tcPr>
            <w:tcW w:type="dxa" w:w="3120"/>
            <w:shd w:fill="F9FAFB"/>
            <w:tcMar>
              <w:top w:w="60" w:type="dxa"/>
              <w:bottom w:w="60" w:type="dxa"/>
              <w:left w:w="100" w:type="dxa"/>
              <w:right w:w="100" w:type="dxa"/>
            </w:tcMar>
          </w:tcPr>
          <w:p>
            <w:r>
              <w:rPr>
                <w:rFonts w:ascii="Calibri" w:hAnsi="Calibri"/>
                <w:color w:val="262626"/>
                <w:sz w:val="19"/>
              </w:rPr>
              <w:t>Upgraded pip to version 26.0.1 in the image layer prior to package installations.</w:t>
            </w:r>
          </w:p>
        </w:tc>
      </w:tr>
      <w:tr>
        <w:tc>
          <w:tcPr>
            <w:tcW w:type="dxa" w:w="3120"/>
            <w:shd w:fill="FFFFFF"/>
            <w:tcMar>
              <w:top w:w="60" w:type="dxa"/>
              <w:bottom w:w="60" w:type="dxa"/>
              <w:left w:w="100" w:type="dxa"/>
              <w:right w:w="100" w:type="dxa"/>
            </w:tcMar>
          </w:tcPr>
          <w:p>
            <w:r>
              <w:rPr>
                <w:rFonts w:ascii="Calibri" w:hAnsi="Calibri"/>
                <w:b/>
                <w:color w:val="262626"/>
                <w:sz w:val="19"/>
              </w:rPr>
              <w:t>Excessive Docker Context Transfer (58.8 MB)</w:t>
            </w:r>
          </w:p>
        </w:tc>
        <w:tc>
          <w:tcPr>
            <w:tcW w:type="dxa" w:w="3120"/>
            <w:shd w:fill="FFFFFF"/>
            <w:tcMar>
              <w:top w:w="60" w:type="dxa"/>
              <w:bottom w:w="60" w:type="dxa"/>
              <w:left w:w="100" w:type="dxa"/>
              <w:right w:w="100" w:type="dxa"/>
            </w:tcMar>
          </w:tcPr>
          <w:p>
            <w:r>
              <w:rPr>
                <w:rFonts w:ascii="Calibri" w:hAnsi="Calibri"/>
                <w:color w:val="262626"/>
                <w:sz w:val="19"/>
              </w:rPr>
              <w:t>Docker client uploaded raw image datasets and .git directories to daemon.</w:t>
            </w:r>
          </w:p>
        </w:tc>
        <w:tc>
          <w:tcPr>
            <w:tcW w:type="dxa" w:w="3120"/>
            <w:shd w:fill="FFFFFF"/>
            <w:tcMar>
              <w:top w:w="60" w:type="dxa"/>
              <w:bottom w:w="60" w:type="dxa"/>
              <w:left w:w="100" w:type="dxa"/>
              <w:right w:w="100" w:type="dxa"/>
            </w:tcMar>
          </w:tcPr>
          <w:p>
            <w:r>
              <w:rPr>
                <w:rFonts w:ascii="Calibri" w:hAnsi="Calibri"/>
                <w:color w:val="262626"/>
                <w:sz w:val="19"/>
              </w:rPr>
              <w:t>Introduced '.dockerignore', slashing context transfer to 4.1 KB (99.9% reduction).</w:t>
            </w:r>
          </w:p>
        </w:tc>
      </w:tr>
    </w:tbl>
    <w:p/>
    <w:p>
      <w:pPr>
        <w:keepNext/>
        <w:spacing w:before="280" w:after="80"/>
      </w:pPr>
      <w:r>
        <w:rPr>
          <w:rFonts w:ascii="Arial" w:hAnsi="Arial"/>
          <w:b/>
          <w:color w:val="2F5597"/>
          <w:sz w:val="26"/>
        </w:rPr>
        <w:t>5.6 Verification, Health Probes &amp; Endpoint Validation</w:t>
      </w:r>
    </w:p>
    <w:p>
      <w:pPr>
        <w:spacing w:before="0" w:after="120" w:line="276" w:lineRule="auto"/>
        <w:jc w:val="both"/>
      </w:pPr>
      <w:r>
        <w:rPr>
          <w:rFonts w:ascii="Calibri" w:hAnsi="Calibri"/>
          <w:color w:val="262626"/>
          <w:sz w:val="22"/>
        </w:rPr>
        <w:t>Validation was executed across both local Docker environments and remote CI pipelines:</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1D5DB"/>
              <w:left w:val="single" w:sz="24" w:space="0" w:color="1F4E79"/>
              <w:bottom w:val="single" w:sz="4" w:space="0" w:color="D1D5DB"/>
              <w:right w:val="single" w:sz="4" w:space="0" w:color="D1D5DB"/>
            </w:tcBorders>
          </w:tcPr>
          <w:p>
            <w:pPr>
              <w:spacing w:before="40" w:after="40" w:line="252" w:lineRule="auto"/>
            </w:pPr>
            <w:r>
              <w:rPr>
                <w:rFonts w:ascii="Consolas" w:hAnsi="Consolas"/>
                <w:color w:val="1F2937"/>
                <w:sz w:val="18"/>
              </w:rPr>
              <w:t>$ docker ps --filter "name=ds_project_api"</w:t>
              <w:br/>
              <w:t>CONTAINER ID   IMAGE           COMMAND                  STATUS          PORTS                    NAMES</w:t>
              <w:br/>
              <w:t>52b8a091655a   dsproject-api   "uvicorn api.app:app…"   Up 55 seconds   0.0.0.0:8000-&gt;8000/tcp   ds_project_api</w:t>
              <w:br/>
              <w:br/>
              <w:t>$ curl -I http://localhost:8000/docs</w:t>
              <w:br/>
              <w:t>HTTP/1.1 200 OK</w:t>
              <w:br/>
              <w:t>date: Thu, 10 Sep 2026 10:20:33 GMT</w:t>
              <w:br/>
              <w:t>server: uvicorn</w:t>
              <w:br/>
              <w:t>content-length: 1015</w:t>
              <w:br/>
              <w:t>content-type: text/html; charset=utf-8</w:t>
            </w:r>
          </w:p>
        </w:tc>
      </w:tr>
    </w:tbl>
    <w:p/>
    <w:p>
      <w:r>
        <w:br w:type="page"/>
      </w:r>
    </w:p>
    <w:p>
      <w:pPr>
        <w:keepNext/>
        <w:spacing w:before="360" w:after="120"/>
      </w:pPr>
      <w:r>
        <w:rPr>
          <w:rFonts w:ascii="Arial" w:hAnsi="Arial"/>
          <w:b/>
          <w:color w:val="1F4E79"/>
          <w:sz w:val="32"/>
        </w:rPr>
        <w:t>6. CONCLUSION</w:t>
      </w:r>
    </w:p>
    <w:p>
      <w:pPr>
        <w:keepNext/>
        <w:spacing w:before="280" w:after="80"/>
      </w:pPr>
      <w:r>
        <w:rPr>
          <w:rFonts w:ascii="Arial" w:hAnsi="Arial"/>
          <w:b/>
          <w:color w:val="2F5597"/>
          <w:sz w:val="26"/>
        </w:rPr>
        <w:t>6.1 Summary of DevOps Accomplishments</w:t>
      </w:r>
    </w:p>
    <w:p>
      <w:pPr>
        <w:spacing w:before="0" w:after="120" w:line="276" w:lineRule="auto"/>
        <w:jc w:val="both"/>
      </w:pPr>
      <w:r>
        <w:rPr>
          <w:rFonts w:ascii="Calibri" w:hAnsi="Calibri"/>
          <w:color w:val="262626"/>
          <w:sz w:val="22"/>
        </w:rPr>
        <w:t>The AgriGuard AI system was successfully transitioned from an uncontained, manual script environment into a fully automated, containerized, and production-grade software delivery pipeline. The system guarantees complete environment reproducibility across development, testing, and production tiers.</w:t>
      </w:r>
    </w:p>
    <w:p>
      <w:pPr>
        <w:keepNext/>
        <w:spacing w:before="280" w:after="80"/>
      </w:pPr>
      <w:r>
        <w:rPr>
          <w:rFonts w:ascii="Arial" w:hAnsi="Arial"/>
          <w:b/>
          <w:color w:val="2F5597"/>
          <w:sz w:val="26"/>
        </w:rPr>
        <w:t>6.2 Quantitative Impact &amp; Performance Metrics</w:t>
      </w:r>
    </w:p>
    <w:p>
      <w:pPr>
        <w:pStyle w:val="ListBullet"/>
        <w:spacing w:before="20" w:after="60" w:line="276" w:lineRule="auto"/>
        <w:jc w:val="both"/>
      </w:pPr>
      <w:r>
        <w:rPr>
          <w:rFonts w:ascii="Calibri" w:hAnsi="Calibri"/>
          <w:b/>
          <w:color w:val="262626"/>
          <w:sz w:val="22"/>
        </w:rPr>
        <w:t>•</w:t>
      </w:r>
      <w:r>
        <w:rPr>
          <w:rFonts w:ascii="Calibri" w:hAnsi="Calibri"/>
          <w:color w:val="262626"/>
          <w:sz w:val="22"/>
        </w:rPr>
        <w:t xml:space="preserve"> Build Context Reduction: Slashed from 58.82 Megabytes to 4.17 Kilobytes (99.9% reduction in upload overhead).</w:t>
      </w:r>
    </w:p>
    <w:p>
      <w:pPr>
        <w:pStyle w:val="ListBullet"/>
        <w:spacing w:before="20" w:after="60" w:line="276" w:lineRule="auto"/>
        <w:jc w:val="both"/>
      </w:pPr>
      <w:r>
        <w:rPr>
          <w:rFonts w:ascii="Calibri" w:hAnsi="Calibri"/>
          <w:b/>
          <w:color w:val="262626"/>
          <w:sz w:val="22"/>
        </w:rPr>
        <w:t>•</w:t>
      </w:r>
      <w:r>
        <w:rPr>
          <w:rFonts w:ascii="Calibri" w:hAnsi="Calibri"/>
          <w:color w:val="262626"/>
          <w:sz w:val="22"/>
        </w:rPr>
        <w:t xml:space="preserve"> Image Footprint Optimization: Reduced final image size to a lean 749 MB by isolating PyTorch CPU dependencies.</w:t>
      </w:r>
    </w:p>
    <w:p>
      <w:pPr>
        <w:pStyle w:val="ListBullet"/>
        <w:spacing w:before="20" w:after="60" w:line="276" w:lineRule="auto"/>
        <w:jc w:val="both"/>
      </w:pPr>
      <w:r>
        <w:rPr>
          <w:rFonts w:ascii="Calibri" w:hAnsi="Calibri"/>
          <w:b/>
          <w:color w:val="262626"/>
          <w:sz w:val="22"/>
        </w:rPr>
        <w:t>•</w:t>
      </w:r>
      <w:r>
        <w:rPr>
          <w:rFonts w:ascii="Calibri" w:hAnsi="Calibri"/>
          <w:color w:val="262626"/>
          <w:sz w:val="22"/>
        </w:rPr>
        <w:t xml:space="preserve"> Zero-Touch Deployment Cycle: Complete code-to-test automation achieved via GitHub Actions upon every git push.</w:t>
      </w:r>
    </w:p>
    <w:p>
      <w:pPr>
        <w:pStyle w:val="ListBullet"/>
        <w:spacing w:before="20" w:after="60" w:line="276" w:lineRule="auto"/>
        <w:jc w:val="both"/>
      </w:pPr>
      <w:r>
        <w:rPr>
          <w:rFonts w:ascii="Calibri" w:hAnsi="Calibri"/>
          <w:b/>
          <w:color w:val="262626"/>
          <w:sz w:val="22"/>
        </w:rPr>
        <w:t>•</w:t>
      </w:r>
      <w:r>
        <w:rPr>
          <w:rFonts w:ascii="Calibri" w:hAnsi="Calibri"/>
          <w:color w:val="262626"/>
          <w:sz w:val="22"/>
        </w:rPr>
        <w:t xml:space="preserve"> Verified Availability: Automated HTTP status 200 health checks confirm API stability before release.</w:t>
      </w:r>
    </w:p>
    <w:p>
      <w:r>
        <w:br w:type="page"/>
      </w:r>
    </w:p>
    <w:p>
      <w:pPr>
        <w:keepNext/>
        <w:spacing w:before="360" w:after="120"/>
      </w:pPr>
      <w:r>
        <w:rPr>
          <w:rFonts w:ascii="Arial" w:hAnsi="Arial"/>
          <w:b/>
          <w:color w:val="1F4E79"/>
          <w:sz w:val="32"/>
        </w:rPr>
        <w:t>7. FUTURE ENHANCEMENT</w:t>
      </w:r>
    </w:p>
    <w:p>
      <w:pPr>
        <w:keepNext/>
        <w:spacing w:before="280" w:after="80"/>
      </w:pPr>
      <w:r>
        <w:rPr>
          <w:rFonts w:ascii="Arial" w:hAnsi="Arial"/>
          <w:b/>
          <w:color w:val="2F5597"/>
          <w:sz w:val="26"/>
        </w:rPr>
        <w:t>7.1 Automated Container Registry Integration (GHCR / Docker Hub)</w:t>
      </w:r>
    </w:p>
    <w:p>
      <w:pPr>
        <w:spacing w:before="0" w:after="120" w:line="276" w:lineRule="auto"/>
        <w:jc w:val="both"/>
      </w:pPr>
      <w:r>
        <w:rPr>
          <w:rFonts w:ascii="Calibri" w:hAnsi="Calibri"/>
          <w:color w:val="262626"/>
          <w:sz w:val="22"/>
        </w:rPr>
        <w:t>Integrate GitHub Container Registry (ghcr.io) or Docker Hub publishing within the CD pipeline. Upon tagging a git release (e.g., v1.0.0), the workflow can build, sign, and push multi-architecture images (linux/amd64, linux/arm64) automatically.</w:t>
      </w:r>
    </w:p>
    <w:p>
      <w:pPr>
        <w:keepNext/>
        <w:spacing w:before="280" w:after="80"/>
      </w:pPr>
      <w:r>
        <w:rPr>
          <w:rFonts w:ascii="Arial" w:hAnsi="Arial"/>
          <w:b/>
          <w:color w:val="2F5597"/>
          <w:sz w:val="26"/>
        </w:rPr>
        <w:t>7.2 Kubernetes (K8s) Cluster Deployment &amp; Auto-Scaling</w:t>
      </w:r>
    </w:p>
    <w:p>
      <w:pPr>
        <w:spacing w:before="0" w:after="120" w:line="276" w:lineRule="auto"/>
        <w:jc w:val="both"/>
      </w:pPr>
      <w:r>
        <w:rPr>
          <w:rFonts w:ascii="Calibri" w:hAnsi="Calibri"/>
          <w:color w:val="262626"/>
          <w:sz w:val="22"/>
        </w:rPr>
        <w:t>Develop Kubernetes manifest files and Helm charts featuring Horizontal Pod Autoscaling (HPA) to scale backend inference pods dynamically based on incoming CPU utilization and inference request spikes.</w:t>
      </w:r>
    </w:p>
    <w:p>
      <w:pPr>
        <w:keepNext/>
        <w:spacing w:before="280" w:after="80"/>
      </w:pPr>
      <w:r>
        <w:rPr>
          <w:rFonts w:ascii="Arial" w:hAnsi="Arial"/>
          <w:b/>
          <w:color w:val="2F5597"/>
          <w:sz w:val="26"/>
        </w:rPr>
        <w:t>7.3 Infrastructure as Code (IaC) with Terraform</w:t>
      </w:r>
    </w:p>
    <w:p>
      <w:pPr>
        <w:spacing w:before="0" w:after="120" w:line="276" w:lineRule="auto"/>
        <w:jc w:val="both"/>
      </w:pPr>
      <w:r>
        <w:rPr>
          <w:rFonts w:ascii="Calibri" w:hAnsi="Calibri"/>
          <w:color w:val="262626"/>
          <w:sz w:val="22"/>
        </w:rPr>
        <w:t>Provision scalable cloud resources (AWS ECS Fargate, GCP Cloud Run, or Azure Container Apps) declaratively using Terraform scripts stored within the version-controlled repository.</w:t>
      </w:r>
    </w:p>
    <w:p>
      <w:pPr>
        <w:keepNext/>
        <w:spacing w:before="280" w:after="80"/>
      </w:pPr>
      <w:r>
        <w:rPr>
          <w:rFonts w:ascii="Arial" w:hAnsi="Arial"/>
          <w:b/>
          <w:color w:val="2F5597"/>
          <w:sz w:val="26"/>
        </w:rPr>
        <w:t>7.4 Continuous Monitoring &amp; Telemetry (Prometheus &amp; Grafana)</w:t>
      </w:r>
    </w:p>
    <w:p>
      <w:pPr>
        <w:spacing w:before="0" w:after="120" w:line="276" w:lineRule="auto"/>
        <w:jc w:val="both"/>
      </w:pPr>
      <w:r>
        <w:rPr>
          <w:rFonts w:ascii="Calibri" w:hAnsi="Calibri"/>
          <w:color w:val="262626"/>
          <w:sz w:val="22"/>
        </w:rPr>
        <w:t>Embed Prometheus metrics exporters into the FastAPI runtime to monitor request latencies, memory pressure, and model inference times, visualized via real-time Grafana observability dashboards.</w:t>
      </w:r>
    </w:p>
    <w:p>
      <w:r>
        <w:br w:type="page"/>
      </w:r>
    </w:p>
    <w:p>
      <w:pPr>
        <w:keepNext/>
        <w:spacing w:before="360" w:after="120"/>
      </w:pPr>
      <w:r>
        <w:rPr>
          <w:rFonts w:ascii="Arial" w:hAnsi="Arial"/>
          <w:b/>
          <w:color w:val="1F4E79"/>
          <w:sz w:val="32"/>
        </w:rPr>
        <w:t>8. BIBLIOGRAPHY AND REFERENCES</w:t>
      </w:r>
    </w:p>
    <w:p>
      <w:pPr>
        <w:spacing w:before="40" w:after="120" w:line="276" w:lineRule="auto"/>
        <w:jc w:val="both"/>
      </w:pPr>
      <w:r>
        <w:rPr>
          <w:rFonts w:ascii="Calibri" w:hAnsi="Calibri"/>
          <w:color w:val="262626"/>
          <w:sz w:val="20"/>
        </w:rPr>
        <w:t>[1] D. Sculley et al., 'Hidden Technical Debt in Machine Learning Systems,' in Advances in Neural Information Processing Systems (NeurIPS), vol. 28, 2015, pp. 2503-2511.</w:t>
      </w:r>
    </w:p>
    <w:p>
      <w:pPr>
        <w:spacing w:before="40" w:after="120" w:line="276" w:lineRule="auto"/>
        <w:jc w:val="both"/>
      </w:pPr>
      <w:r>
        <w:rPr>
          <w:rFonts w:ascii="Calibri" w:hAnsi="Calibri"/>
          <w:color w:val="262626"/>
          <w:sz w:val="20"/>
        </w:rPr>
        <w:t>[2] D. Merkel, 'Docker: Lightweight Linux Containers for Consistent Development and Deployment,' Linux Journal, vol. 2014, no. 239, 2014.</w:t>
      </w:r>
    </w:p>
    <w:p>
      <w:pPr>
        <w:spacing w:before="40" w:after="120" w:line="276" w:lineRule="auto"/>
        <w:jc w:val="both"/>
      </w:pPr>
      <w:r>
        <w:rPr>
          <w:rFonts w:ascii="Calibri" w:hAnsi="Calibri"/>
          <w:color w:val="262626"/>
          <w:sz w:val="20"/>
        </w:rPr>
        <w:t>[3] J. Humble and D. Farley, Continuous Delivery: Reliable Software Releases through Build, Test, and Deployment Automation. Boston, MA: Addison-Wesley, 2010.</w:t>
      </w:r>
    </w:p>
    <w:p>
      <w:pPr>
        <w:spacing w:before="40" w:after="120" w:line="276" w:lineRule="auto"/>
        <w:jc w:val="both"/>
      </w:pPr>
      <w:r>
        <w:rPr>
          <w:rFonts w:ascii="Calibri" w:hAnsi="Calibri"/>
          <w:color w:val="262626"/>
          <w:sz w:val="20"/>
        </w:rPr>
        <w:t>[4] FastAPI Framework Documentation, 'High performance, easy to learn, fast to code, ready for production,' Tiangolo, 2024. [Online]. Available: https://fastapi.tiangolo.com/.</w:t>
      </w:r>
    </w:p>
    <w:p>
      <w:pPr>
        <w:spacing w:before="40" w:after="120" w:line="276" w:lineRule="auto"/>
        <w:jc w:val="both"/>
      </w:pPr>
      <w:r>
        <w:rPr>
          <w:rFonts w:ascii="Calibri" w:hAnsi="Calibri"/>
          <w:color w:val="262626"/>
          <w:sz w:val="20"/>
        </w:rPr>
        <w:t>[5] Docker Documentation, 'Dockerfile reference and best practices for building efficient images,' Docker Inc., 2026. [Online]. Available: https://docs.docker.com/engine/reference/builder/.</w:t>
      </w:r>
    </w:p>
    <w:p>
      <w:pPr>
        <w:spacing w:before="40" w:after="120" w:line="276" w:lineRule="auto"/>
        <w:jc w:val="both"/>
      </w:pPr>
      <w:r>
        <w:rPr>
          <w:rFonts w:ascii="Calibri" w:hAnsi="Calibri"/>
          <w:color w:val="262626"/>
          <w:sz w:val="20"/>
        </w:rPr>
        <w:t>[6] GitHub Actions Documentation, 'Automating your workflow from idea to production,' GitHub Inc., 2026. [Online]. Available: https://docs.github.com/en/actions.</w:t>
      </w:r>
    </w:p>
    <w:p>
      <w:pPr>
        <w:spacing w:before="40" w:after="120" w:line="276" w:lineRule="auto"/>
        <w:jc w:val="both"/>
      </w:pPr>
      <w:r>
        <w:rPr>
          <w:rFonts w:ascii="Calibri" w:hAnsi="Calibri"/>
          <w:color w:val="262626"/>
          <w:sz w:val="20"/>
        </w:rPr>
        <w:t>[7] A. Paszke et al., 'PyTorch: An Imperative Style, High-Performance Deep Learning Library,' in Advances in Neural Information Processing Systems (NeurIPS), vol. 32, 2019.</w:t>
      </w:r>
    </w:p>
    <w:p>
      <w:pPr>
        <w:spacing w:before="40" w:after="120" w:line="276" w:lineRule="auto"/>
        <w:jc w:val="both"/>
      </w:pPr>
      <w:r>
        <w:rPr>
          <w:rFonts w:ascii="Calibri" w:hAnsi="Calibri"/>
          <w:color w:val="262626"/>
          <w:sz w:val="20"/>
        </w:rPr>
        <w:t>[8] M. Fowler, 'Continuous Integration,' MartinFowler.com, 2006. [Online]. Available: https://martinfowler.com/articles/continuousIntegration.html.</w:t>
      </w:r>
    </w:p>
    <w:p>
      <w:pPr>
        <w:spacing w:before="40" w:after="120" w:line="276" w:lineRule="auto"/>
        <w:jc w:val="both"/>
      </w:pPr>
      <w:r>
        <w:rPr>
          <w:rFonts w:ascii="Calibri" w:hAnsi="Calibri"/>
          <w:color w:val="262626"/>
          <w:sz w:val="20"/>
        </w:rPr>
        <w:t>[9] C. Pahl, 'Containerization and the PaaS Cloud,' IEEE Cloud Computing, vol. 2, no. 3, pp. 24-31, 2015.</w:t>
      </w:r>
    </w:p>
    <w:p>
      <w:pPr>
        <w:spacing w:before="40" w:after="120" w:line="276" w:lineRule="auto"/>
        <w:jc w:val="both"/>
      </w:pPr>
      <w:r>
        <w:rPr>
          <w:rFonts w:ascii="Calibri" w:hAnsi="Calibri"/>
          <w:color w:val="262626"/>
          <w:sz w:val="20"/>
        </w:rPr>
        <w:t>[10] B. Burns et al., Designing Distributed Systems: Patterns and Paradigms for Scalable, Reliable Services. Sebastopol, CA: O'Reilly Media, 2018.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