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API Data Extraction Assignment</w:t>
      </w:r>
    </w:p>
    <w:p>
      <w:pPr>
        <w:spacing w:after="160"/>
      </w:pPr>
      <w:r>
        <w:rPr>
          <w:i/>
          <w:color w:val="5F6E82"/>
          <w:sz w:val="20"/>
        </w:rPr>
        <w:t>Public REST API | JSON to CSV | Frankfurter currency reference data</w:t>
      </w:r>
    </w:p>
    <w:p>
      <w:pPr>
        <w:pStyle w:val="Heading1"/>
      </w:pPr>
      <w:r>
        <w:t>Objective</w:t>
      </w:r>
    </w:p>
    <w:p>
      <w:r>
        <w:t>Call a public API, inspect a JSON response, and convert the records to CSV using Python.</w:t>
      </w:r>
    </w:p>
    <w:p>
      <w:pPr>
        <w:pStyle w:val="Heading1"/>
      </w:pPr>
      <w:r>
        <w:t>API contract</w:t>
      </w:r>
    </w:p>
    <w:tbl>
      <w:tblPr>
        <w:tblStyle w:val="LightShading-Accent1"/>
        <w:tblW w:type="auto" w:w="0"/>
        <w:jc w:val="center"/>
        <w:tblLook w:firstColumn="1" w:firstRow="1" w:lastColumn="0" w:lastRow="0" w:noHBand="0" w:noVBand="1" w:val="04A0"/>
      </w:tblPr>
      <w:tblGrid>
        <w:gridCol w:w="5083"/>
        <w:gridCol w:w="5083"/>
      </w:tblGrid>
      <w:tr>
        <w:tc>
          <w:tcPr>
            <w:tcW w:type="dxa" w:w="5083"/>
            <w:vAlign w:val="center"/>
            <w:shd w:fill="172B4D"/>
          </w:tcPr>
          <w:p>
            <w:pPr>
              <w:spacing w:after="0"/>
            </w:pPr>
            <w:r/>
            <w:r>
              <w:rPr>
                <w:rFonts w:ascii="Aptos" w:hAnsi="Aptos"/>
                <w:b/>
                <w:color w:val="FFFFFF"/>
                <w:sz w:val="17"/>
              </w:rPr>
              <w:t>Item</w:t>
            </w:r>
          </w:p>
        </w:tc>
        <w:tc>
          <w:tcPr>
            <w:tcW w:type="dxa" w:w="5083"/>
            <w:vAlign w:val="center"/>
            <w:shd w:fill="172B4D"/>
          </w:tcPr>
          <w:p>
            <w:pPr>
              <w:spacing w:after="0"/>
            </w:pPr>
            <w:r/>
            <w:r>
              <w:rPr>
                <w:rFonts w:ascii="Aptos" w:hAnsi="Aptos"/>
                <w:b/>
                <w:color w:val="FFFFFF"/>
                <w:sz w:val="17"/>
              </w:rPr>
              <w:t>Value</w:t>
            </w:r>
          </w:p>
        </w:tc>
      </w:tr>
      <w:tr>
        <w:tc>
          <w:tcPr>
            <w:tcW w:type="dxa" w:w="5083"/>
            <w:vAlign w:val="center"/>
          </w:tcPr>
          <w:p>
            <w:pPr>
              <w:spacing w:after="0"/>
            </w:pPr>
            <w:r/>
            <w:r>
              <w:rPr>
                <w:rFonts w:ascii="Aptos" w:hAnsi="Aptos"/>
                <w:b w:val="0"/>
                <w:color w:val="25364A"/>
                <w:sz w:val="17"/>
              </w:rPr>
              <w:t>Provider</w:t>
            </w:r>
          </w:p>
        </w:tc>
        <w:tc>
          <w:tcPr>
            <w:tcW w:type="dxa" w:w="5083"/>
            <w:vAlign w:val="center"/>
          </w:tcPr>
          <w:p>
            <w:pPr>
              <w:spacing w:after="0"/>
            </w:pPr>
            <w:r/>
            <w:r>
              <w:rPr>
                <w:rFonts w:ascii="Aptos" w:hAnsi="Aptos"/>
                <w:b w:val="0"/>
                <w:color w:val="25364A"/>
                <w:sz w:val="17"/>
              </w:rPr>
              <w:t>Frankfurter exchange-rate API</w:t>
            </w:r>
          </w:p>
        </w:tc>
      </w:tr>
      <w:tr>
        <w:tc>
          <w:tcPr>
            <w:tcW w:type="dxa" w:w="5083"/>
            <w:vAlign w:val="center"/>
            <w:shd w:fill="F0F5FA"/>
          </w:tcPr>
          <w:p>
            <w:pPr>
              <w:spacing w:after="0"/>
            </w:pPr>
            <w:r/>
            <w:r>
              <w:rPr>
                <w:rFonts w:ascii="Aptos" w:hAnsi="Aptos"/>
                <w:b w:val="0"/>
                <w:color w:val="25364A"/>
                <w:sz w:val="17"/>
              </w:rPr>
              <w:t>Method</w:t>
            </w:r>
          </w:p>
        </w:tc>
        <w:tc>
          <w:tcPr>
            <w:tcW w:type="dxa" w:w="5083"/>
            <w:vAlign w:val="center"/>
            <w:shd w:fill="F0F5FA"/>
          </w:tcPr>
          <w:p>
            <w:pPr>
              <w:spacing w:after="0"/>
            </w:pPr>
            <w:r/>
            <w:r>
              <w:rPr>
                <w:rFonts w:ascii="Aptos" w:hAnsi="Aptos"/>
                <w:b w:val="0"/>
                <w:color w:val="25364A"/>
                <w:sz w:val="17"/>
              </w:rPr>
              <w:t>GET</w:t>
            </w:r>
          </w:p>
        </w:tc>
      </w:tr>
      <w:tr>
        <w:tc>
          <w:tcPr>
            <w:tcW w:type="dxa" w:w="5083"/>
            <w:vAlign w:val="center"/>
          </w:tcPr>
          <w:p>
            <w:pPr>
              <w:spacing w:after="0"/>
            </w:pPr>
            <w:r/>
            <w:r>
              <w:rPr>
                <w:rFonts w:ascii="Aptos" w:hAnsi="Aptos"/>
                <w:b w:val="0"/>
                <w:color w:val="25364A"/>
                <w:sz w:val="17"/>
              </w:rPr>
              <w:t>Endpoint</w:t>
            </w:r>
          </w:p>
        </w:tc>
        <w:tc>
          <w:tcPr>
            <w:tcW w:type="dxa" w:w="5083"/>
            <w:vAlign w:val="center"/>
          </w:tcPr>
          <w:p>
            <w:pPr>
              <w:spacing w:after="0"/>
            </w:pPr>
            <w:r/>
            <w:r>
              <w:rPr>
                <w:rFonts w:ascii="Aptos" w:hAnsi="Aptos"/>
                <w:b w:val="0"/>
                <w:color w:val="25364A"/>
                <w:sz w:val="17"/>
              </w:rPr>
              <w:t>https://api.frankfurter.dev/v2/rates</w:t>
            </w:r>
          </w:p>
        </w:tc>
      </w:tr>
      <w:tr>
        <w:tc>
          <w:tcPr>
            <w:tcW w:type="dxa" w:w="5083"/>
            <w:vAlign w:val="center"/>
            <w:shd w:fill="F0F5FA"/>
          </w:tcPr>
          <w:p>
            <w:pPr>
              <w:spacing w:after="0"/>
            </w:pPr>
            <w:r/>
            <w:r>
              <w:rPr>
                <w:rFonts w:ascii="Aptos" w:hAnsi="Aptos"/>
                <w:b w:val="0"/>
                <w:color w:val="25364A"/>
                <w:sz w:val="17"/>
              </w:rPr>
              <w:t>Query parameters</w:t>
            </w:r>
          </w:p>
        </w:tc>
        <w:tc>
          <w:tcPr>
            <w:tcW w:type="dxa" w:w="5083"/>
            <w:vAlign w:val="center"/>
            <w:shd w:fill="F0F5FA"/>
          </w:tcPr>
          <w:p>
            <w:pPr>
              <w:spacing w:after="0"/>
            </w:pPr>
            <w:r/>
            <w:r>
              <w:rPr>
                <w:rFonts w:ascii="Aptos" w:hAnsi="Aptos"/>
                <w:b w:val="0"/>
                <w:color w:val="25364A"/>
                <w:sz w:val="17"/>
              </w:rPr>
              <w:t>base=USD; quotes=INR,EUR,GBP,JPY</w:t>
            </w:r>
          </w:p>
        </w:tc>
      </w:tr>
      <w:tr>
        <w:tc>
          <w:tcPr>
            <w:tcW w:type="dxa" w:w="5083"/>
            <w:vAlign w:val="center"/>
          </w:tcPr>
          <w:p>
            <w:pPr>
              <w:spacing w:after="0"/>
            </w:pPr>
            <w:r/>
            <w:r>
              <w:rPr>
                <w:rFonts w:ascii="Aptos" w:hAnsi="Aptos"/>
                <w:b w:val="0"/>
                <w:color w:val="25364A"/>
                <w:sz w:val="17"/>
              </w:rPr>
              <w:t>Authentication</w:t>
            </w:r>
          </w:p>
        </w:tc>
        <w:tc>
          <w:tcPr>
            <w:tcW w:type="dxa" w:w="5083"/>
            <w:vAlign w:val="center"/>
          </w:tcPr>
          <w:p>
            <w:pPr>
              <w:spacing w:after="0"/>
            </w:pPr>
            <w:r/>
            <w:r>
              <w:rPr>
                <w:rFonts w:ascii="Aptos" w:hAnsi="Aptos"/>
                <w:b w:val="0"/>
                <w:color w:val="25364A"/>
                <w:sz w:val="17"/>
              </w:rPr>
              <w:t>Not required for public endpoint</w:t>
            </w:r>
          </w:p>
        </w:tc>
      </w:tr>
      <w:tr>
        <w:tc>
          <w:tcPr>
            <w:tcW w:type="dxa" w:w="5083"/>
            <w:vAlign w:val="center"/>
            <w:shd w:fill="F0F5FA"/>
          </w:tcPr>
          <w:p>
            <w:pPr>
              <w:spacing w:after="0"/>
            </w:pPr>
            <w:r/>
            <w:r>
              <w:rPr>
                <w:rFonts w:ascii="Aptos" w:hAnsi="Aptos"/>
                <w:b w:val="0"/>
                <w:color w:val="25364A"/>
                <w:sz w:val="17"/>
              </w:rPr>
              <w:t>Expected fields</w:t>
            </w:r>
          </w:p>
        </w:tc>
        <w:tc>
          <w:tcPr>
            <w:tcW w:type="dxa" w:w="5083"/>
            <w:vAlign w:val="center"/>
            <w:shd w:fill="F0F5FA"/>
          </w:tcPr>
          <w:p>
            <w:pPr>
              <w:spacing w:after="0"/>
            </w:pPr>
            <w:r/>
            <w:r>
              <w:rPr>
                <w:rFonts w:ascii="Aptos" w:hAnsi="Aptos"/>
                <w:b w:val="0"/>
                <w:color w:val="25364A"/>
                <w:sz w:val="17"/>
              </w:rPr>
              <w:t>date, base, quote, rate</w:t>
            </w:r>
          </w:p>
        </w:tc>
      </w:tr>
      <w:tr>
        <w:tc>
          <w:tcPr>
            <w:tcW w:type="dxa" w:w="5083"/>
            <w:vAlign w:val="center"/>
          </w:tcPr>
          <w:p>
            <w:pPr>
              <w:spacing w:after="0"/>
            </w:pPr>
            <w:r/>
            <w:r>
              <w:rPr>
                <w:rFonts w:ascii="Aptos" w:hAnsi="Aptos"/>
                <w:b w:val="0"/>
                <w:color w:val="25364A"/>
                <w:sz w:val="17"/>
              </w:rPr>
              <w:t>Outputs</w:t>
            </w:r>
          </w:p>
        </w:tc>
        <w:tc>
          <w:tcPr>
            <w:tcW w:type="dxa" w:w="5083"/>
            <w:vAlign w:val="center"/>
          </w:tcPr>
          <w:p>
            <w:r>
              <w:t>Datasets/fx_rates_api.json, Datasets/fx_rates_api_response.json, and Datasets/fx_rates_api.csv</w:t>
            </w:r>
          </w:p>
        </w:tc>
      </w:tr>
    </w:tbl>
    <w:p>
      <w:pPr>
        <w:spacing w:after="0"/>
      </w:pPr>
    </w:p>
    <w:p>
      <w:pPr>
        <w:pStyle w:val="Heading1"/>
      </w:pPr>
      <w:r>
        <w:t>Live JSON response sample (22 October 2026)</w:t>
      </w:r>
    </w:p>
    <w:p>
      <w:r>
        <w:t>{</w:t>
        <w:br/>
        <w:t xml:space="preserve">  "date": "2026-10-22",</w:t>
        <w:br/>
        <w:t xml:space="preserve">  "base": "USD",</w:t>
        <w:br/>
        <w:t xml:space="preserve">  "quote": "INR",</w:t>
        <w:br/>
        <w:t xml:space="preserve">  "rate": 94.49</w:t>
        <w:br/>
        <w:t>}</w:t>
      </w:r>
    </w:p>
    <w:p>
      <w:r>
        <w:t>A live response from https://api.frankfurter.dev/v2/rates?base=USD was accessed on 22 October 2026. The included JSON and CSV contain selected rows for EUR, GBP, INR and JPY. The package shell could not independently make an outbound Python request due to DNS restrictions, so rerun the script on a connected machine to refresh the export.</w:t>
      </w:r>
    </w:p>
    <w:p>
      <w:pPr>
        <w:pStyle w:val="Heading1"/>
      </w:pPr>
      <w:r>
        <w:t>Run it</w:t>
      </w:r>
    </w:p>
    <w:p>
      <w:r>
        <w:rPr>
          <w:rFonts w:ascii="Consolas" w:hAnsi="Consolas"/>
          <w:sz w:val="18"/>
        </w:rPr>
        <w:t>pip install -r "Source Code/requirements.txt"</w:t>
      </w:r>
    </w:p>
    <w:p>
      <w:r>
        <w:rPr>
          <w:rFonts w:ascii="Consolas" w:hAnsi="Consolas"/>
          <w:sz w:val="18"/>
        </w:rPr>
        <w:t>python "Source Code/api_extract.py"</w:t>
      </w:r>
    </w:p>
    <w:p>
      <w:r>
        <w:rPr>
          <w:rFonts w:ascii="Consolas" w:hAnsi="Consolas"/>
          <w:sz w:val="18"/>
        </w:rPr>
        <w:t>python "Source Code/api_extract.py" --base USD --quotes INR EUR GBP --from-date 2026-01-01 --to-date 2026-10-15</w:t>
      </w:r>
    </w:p>
    <w:p>
      <w:pPr>
        <w:pStyle w:val="Heading1"/>
      </w:pPr>
      <w:r>
        <w:t>Postman / Bruno steps</w:t>
      </w:r>
    </w:p>
    <w:p>
      <w:pPr>
        <w:pStyle w:val="ListBullet"/>
        <w:spacing w:after="20"/>
      </w:pPr>
      <w:r>
        <w:t>Create a GET request to https://api.frankfurter.dev/v2/rates.</w:t>
      </w:r>
    </w:p>
    <w:p>
      <w:pPr>
        <w:pStyle w:val="ListBullet"/>
        <w:spacing w:after="20"/>
      </w:pPr>
      <w:r>
        <w:t>Set base=USD and quotes=INR,EUR,GBP,JPY as query parameters.</w:t>
      </w:r>
    </w:p>
    <w:p>
      <w:pPr>
        <w:pStyle w:val="ListBullet"/>
        <w:spacing w:after="20"/>
      </w:pPr>
      <w:r>
        <w:t>Send request and inspect status code, JSON content type and array structure.</w:t>
      </w:r>
    </w:p>
    <w:p>
      <w:pPr>
        <w:pStyle w:val="ListBullet"/>
        <w:spacing w:after="20"/>
      </w:pPr>
      <w:r>
        <w:t>Run api_extract.py to validate, normalize, remove duplicate observations and export CSV.</w:t>
      </w:r>
    </w:p>
    <w:p>
      <w:pPr>
        <w:pStyle w:val="ListBullet"/>
        <w:spacing w:after="20"/>
      </w:pPr>
      <w:r>
        <w:t>Review date gaps, quote currency, rate units and data freshness before analysis.</w:t>
      </w:r>
    </w:p>
    <w:p>
      <w:pPr>
        <w:pStyle w:val="Heading1"/>
      </w:pPr>
      <w:r>
        <w:t>Limitations</w:t>
      </w:r>
    </w:p>
    <w:p>
      <w:r>
        <w:t>These are reference rates, not executable bid/ask prices or a live trading feed. See https://frankfurter.dev/.</w:t>
      </w:r>
    </w:p>
    <w:p>
      <w:pPr>
        <w:pStyle w:val="Heading1"/>
      </w:pPr>
      <w:r>
        <w:t>Captured output rows</w:t>
      </w:r>
    </w:p>
    <w:p>
      <w:r>
        <w:t>Filtered live API response captured on 22 October 2026. Re-fetch with the provided script for a new date.</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Date</w:t>
            </w:r>
          </w:p>
        </w:tc>
        <w:tc>
          <w:tcPr>
            <w:tcW w:type="dxa" w:w="2541"/>
          </w:tcPr>
          <w:p>
            <w:r>
              <w:t>Base</w:t>
            </w:r>
          </w:p>
        </w:tc>
        <w:tc>
          <w:tcPr>
            <w:tcW w:type="dxa" w:w="2541"/>
          </w:tcPr>
          <w:p>
            <w:r>
              <w:t>Quote</w:t>
            </w:r>
          </w:p>
        </w:tc>
        <w:tc>
          <w:tcPr>
            <w:tcW w:type="dxa" w:w="2541"/>
          </w:tcPr>
          <w:p>
            <w:r>
              <w:t>Rate</w:t>
            </w:r>
          </w:p>
        </w:tc>
      </w:tr>
      <w:tr>
        <w:tc>
          <w:tcPr>
            <w:tcW w:type="dxa" w:w="2541"/>
          </w:tcPr>
          <w:p>
            <w:r>
              <w:t>2026-10-22</w:t>
            </w:r>
          </w:p>
        </w:tc>
        <w:tc>
          <w:tcPr>
            <w:tcW w:type="dxa" w:w="2541"/>
          </w:tcPr>
          <w:p>
            <w:r>
              <w:t>USD</w:t>
            </w:r>
          </w:p>
        </w:tc>
        <w:tc>
          <w:tcPr>
            <w:tcW w:type="dxa" w:w="2541"/>
          </w:tcPr>
          <w:p>
            <w:r>
              <w:t>EUR</w:t>
            </w:r>
          </w:p>
        </w:tc>
        <w:tc>
          <w:tcPr>
            <w:tcW w:type="dxa" w:w="2541"/>
          </w:tcPr>
          <w:p>
            <w:r>
              <w:t>0.88962</w:t>
            </w:r>
          </w:p>
        </w:tc>
      </w:tr>
      <w:tr>
        <w:tc>
          <w:tcPr>
            <w:tcW w:type="dxa" w:w="2541"/>
          </w:tcPr>
          <w:p>
            <w:r>
              <w:t>2026-10-22</w:t>
            </w:r>
          </w:p>
        </w:tc>
        <w:tc>
          <w:tcPr>
            <w:tcW w:type="dxa" w:w="2541"/>
          </w:tcPr>
          <w:p>
            <w:r>
              <w:t>USD</w:t>
            </w:r>
          </w:p>
        </w:tc>
        <w:tc>
          <w:tcPr>
            <w:tcW w:type="dxa" w:w="2541"/>
          </w:tcPr>
          <w:p>
            <w:r>
              <w:t>GBP</w:t>
            </w:r>
          </w:p>
        </w:tc>
        <w:tc>
          <w:tcPr>
            <w:tcW w:type="dxa" w:w="2541"/>
          </w:tcPr>
          <w:p>
            <w:r>
              <w:t>0.74662</w:t>
            </w:r>
          </w:p>
        </w:tc>
      </w:tr>
      <w:tr>
        <w:tc>
          <w:tcPr>
            <w:tcW w:type="dxa" w:w="2541"/>
          </w:tcPr>
          <w:p>
            <w:r>
              <w:t>2026-10-22</w:t>
            </w:r>
          </w:p>
        </w:tc>
        <w:tc>
          <w:tcPr>
            <w:tcW w:type="dxa" w:w="2541"/>
          </w:tcPr>
          <w:p>
            <w:r>
              <w:t>USD</w:t>
            </w:r>
          </w:p>
        </w:tc>
        <w:tc>
          <w:tcPr>
            <w:tcW w:type="dxa" w:w="2541"/>
          </w:tcPr>
          <w:p>
            <w:r>
              <w:t>INR</w:t>
            </w:r>
          </w:p>
        </w:tc>
        <w:tc>
          <w:tcPr>
            <w:tcW w:type="dxa" w:w="2541"/>
          </w:tcPr>
          <w:p>
            <w:r>
              <w:t>94.49</w:t>
            </w:r>
          </w:p>
        </w:tc>
      </w:tr>
      <w:tr>
        <w:tc>
          <w:tcPr>
            <w:tcW w:type="dxa" w:w="2541"/>
          </w:tcPr>
          <w:p>
            <w:r>
              <w:t>2026-10-22</w:t>
            </w:r>
          </w:p>
        </w:tc>
        <w:tc>
          <w:tcPr>
            <w:tcW w:type="dxa" w:w="2541"/>
          </w:tcPr>
          <w:p>
            <w:r>
              <w:t>USD</w:t>
            </w:r>
          </w:p>
        </w:tc>
        <w:tc>
          <w:tcPr>
            <w:tcW w:type="dxa" w:w="2541"/>
          </w:tcPr>
          <w:p>
            <w:r>
              <w:t>JPY</w:t>
            </w:r>
          </w:p>
        </w:tc>
        <w:tc>
          <w:tcPr>
            <w:tcW w:type="dxa" w:w="2541"/>
          </w:tcPr>
          <w:p>
            <w:r>
              <w:t>157.97</w:t>
            </w:r>
          </w:p>
        </w:tc>
      </w:tr>
    </w:tbl>
    <w:p>
      <w:r>
        <w:t>Source: Frankfurter public API, https://api.frankfurter.dev/v2/rates?base=USD (accessed 22 October 2026).</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Week 2 - FinTech Domain &amp; Software Development Fundamentals | Educational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2B4D"/>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57A78"/>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45C9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Aptos Display" w:hAnsi="Aptos Display"/>
      <w:b/>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