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 w:before="0" w:line="252" w:lineRule="auto"/>
      </w:pPr>
      <w:r>
        <w:t>Stock Market Fundamentals</w:t>
      </w:r>
    </w:p>
    <w:p>
      <w:pPr>
        <w:spacing w:after="40" w:before="40" w:line="252" w:lineRule="auto"/>
      </w:pPr>
      <w:r>
        <w:rPr>
          <w:i/>
          <w:color w:val="5F6E82"/>
          <w:sz w:val="20"/>
        </w:rPr>
        <w:t>One-page summary | Prepared by RAGHUNATHAREDDY GR | 15 October 2026</w:t>
      </w:r>
    </w:p>
    <w:p>
      <w:pPr>
        <w:spacing w:before="40" w:after="40" w:line="252" w:lineRule="auto"/>
      </w:pPr>
      <w:r>
        <w:rPr>
          <w:b/>
        </w:rPr>
        <w:t xml:space="preserve">Purpose. </w:t>
      </w:r>
      <w:r>
        <w:t>Domain knowledge for a FinTech data analyst, not investment or trading advice.</w:t>
      </w:r>
    </w:p>
    <w:p>
      <w:pPr>
        <w:pStyle w:val="Heading2"/>
        <w:spacing w:before="40" w:after="40" w:line="252" w:lineRule="auto"/>
      </w:pPr>
      <w:r>
        <w:t>How the market works</w:t>
      </w:r>
    </w:p>
    <w:p>
      <w:pPr>
        <w:spacing w:before="40" w:after="40" w:line="252" w:lineRule="auto"/>
      </w:pPr>
      <w:r>
        <w:t>A stock market lets companies raise equity capital and investors trade securities. NSE and BSE are major Indian stock exchanges. Nifty 50 tracks 50 large, liquid stocks associated with NSE; Sensex tracks 30 selected BSE companies. An IPO is a first public offering/listing process; an SME IPO is for eligible small and medium enterprises on the relevant SME platform under current rules.</w:t>
      </w:r>
    </w:p>
    <w:p>
      <w:pPr>
        <w:pStyle w:val="Heading2"/>
        <w:spacing w:before="40" w:after="40" w:line="252" w:lineRule="auto"/>
      </w:pPr>
      <w:r>
        <w:t>Company value and shareholder terms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172B4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Term</w:t>
            </w:r>
          </w:p>
        </w:tc>
        <w:tc>
          <w:tcPr>
            <w:tcW w:type="dxa" w:w="5083"/>
            <w:vAlign w:val="center"/>
            <w:shd w:fill="172B4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Meaning / formula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Market capitalization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Share price × shares outstanding. Market value of equity, not a company’s intrinsic value.</w:t>
            </w:r>
          </w:p>
        </w:tc>
      </w:tr>
      <w:tr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EPS</w:t>
            </w:r>
          </w:p>
        </w:tc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Profit attributable to ordinary shareholders ÷ weighted-average ordinary shares.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P/E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Share price ÷ EPS. Interpret with growth, risk, accounting and industry context.</w:t>
            </w:r>
          </w:p>
        </w:tc>
      </w:tr>
      <w:tr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P/B</w:t>
            </w:r>
          </w:p>
        </w:tc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Share price ÷ book value per share. Use cautiously for asset-light firms.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Dividend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Distribution to shareholders when declared; not guaranteed.</w:t>
            </w:r>
          </w:p>
        </w:tc>
      </w:tr>
      <w:tr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Bonus / stock split</w:t>
            </w:r>
          </w:p>
        </w:tc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Bonus issues distribute extra shares from eligible reserves; splits divide shares into more units. Neither creates value merely by increasing share count.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Trading volume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6"/>
              </w:rPr>
              <w:t>Shares traded during a period; activity measure, not direction or quality.</w:t>
            </w:r>
          </w:p>
        </w:tc>
      </w:tr>
    </w:tbl>
    <w:p>
      <w:pPr>
        <w:spacing w:after="40" w:before="40" w:line="252" w:lineRule="auto"/>
      </w:pPr>
      <w:r>
        <w:t>Market capitalization = share price × shares outstanding; it measures market value of equity. Key valuation and shareholder metrics: (1) EPS (Earnings Per Share) = profit attributable to ordinary shareholders ÷ weighted-average shares; (2) P/E ratio = share price ÷ EPS, comparing valuation against current earnings; (3) P/B ratio = share price ÷ book value per share, comparing market equity to accounting net worth; (4) Dividends are cash profit distributions declared by the company (not guaranteed); (5) Bonus issues distribute additional shares from eligible reserves, while stock splits divide existing shares into lower face-value units (neither creates economic value alone); (6) Trading volume measures total shares transacted in a period, reflecting market activity and liquidity rather than investment quality.</w:t>
      </w:r>
    </w:p>
    <w:p>
      <w:pPr>
        <w:pStyle w:val="Heading2"/>
        <w:spacing w:before="40" w:after="40" w:line="252" w:lineRule="auto"/>
      </w:pPr>
      <w:r>
        <w:t>The three financial statements</w:t>
      </w:r>
    </w:p>
    <w:p>
      <w:pPr>
        <w:spacing w:before="40" w:after="40" w:line="252" w:lineRule="auto"/>
      </w:pPr>
      <w:r>
        <w:t>Profit &amp; Loss: revenue, costs and profit across a period. Balance Sheet: assets, liabilities and equity at a date. Cash Flow Statement: cash movements from operating, investing and financing activities. Common metrics include revenue growth, operating/net margin, current ratio, debt-to-equity, ROE, EPS and operating cash flow.</w:t>
      </w:r>
    </w:p>
    <w:p>
      <w:pPr>
        <w:pStyle w:val="Heading2"/>
        <w:spacing w:before="40" w:after="40" w:line="252" w:lineRule="auto"/>
      </w:pPr>
      <w:r>
        <w:t>Market participants and settlement</w:t>
      </w:r>
    </w:p>
    <w:p>
      <w:pPr>
        <w:spacing w:before="40" w:after="40" w:line="252" w:lineRule="auto"/>
      </w:pPr>
      <w:r>
        <w:t>A broker facilitates customer access to exchanges. A demat account holds securities electronically through a Depository Participant. NSDL and CDSL are depositories. SEBI regulates the securities market. A typical equity trade flows from order placement and exchange matching through clearing and settlement; India’s standard equity rolling settlement is generally T+1, subject to instrument and market-calendar rules.</w:t>
      </w:r>
    </w:p>
    <w:p>
      <w:pPr>
        <w:pStyle w:val="Heading2"/>
        <w:spacing w:before="40" w:after="40" w:line="252" w:lineRule="auto"/>
      </w:pPr>
      <w:r>
        <w:t>Analyst checklist</w:t>
      </w:r>
    </w:p>
    <w:p>
      <w:pPr>
        <w:pStyle w:val="ListBullet"/>
        <w:spacing w:after="40" w:before="40" w:line="252" w:lineRule="auto"/>
      </w:pPr>
      <w:r>
        <w:t>Confirm units, reporting period, consolidated vs standalone basis and accounting framework.</w:t>
      </w:r>
    </w:p>
    <w:p>
      <w:pPr>
        <w:pStyle w:val="ListBullet"/>
        <w:spacing w:after="40" w:before="40" w:line="252" w:lineRule="auto"/>
      </w:pPr>
      <w:r>
        <w:t>Check corporate actions, outliers, market holidays and data freshness before comparing values.</w:t>
      </w:r>
    </w:p>
    <w:p>
      <w:pPr>
        <w:pStyle w:val="ListBullet"/>
        <w:spacing w:after="40" w:before="40" w:line="252" w:lineRule="auto"/>
      </w:pPr>
      <w:r>
        <w:t>Treat high P/E, unusual volume or changing ratios as investigation signals, not conclusions.</w:t>
      </w:r>
    </w:p>
    <w:p>
      <w:pPr>
        <w:pStyle w:val="Heading2"/>
        <w:spacing w:before="40" w:after="40" w:line="252" w:lineRule="auto"/>
      </w:pPr>
      <w:r>
        <w:t>Sources</w:t>
      </w:r>
    </w:p>
    <w:p>
      <w:pPr>
        <w:spacing w:after="40" w:before="40" w:line="252" w:lineRule="auto"/>
      </w:pPr>
      <w:r>
        <w:rPr>
          <w:color w:val="245C9F"/>
          <w:sz w:val="16"/>
        </w:rPr>
        <w:t>https://www.nseindia.com/static/products-services/indices-price-earnings-ratio</w:t>
      </w:r>
    </w:p>
    <w:p>
      <w:pPr>
        <w:spacing w:after="40" w:before="40" w:line="252" w:lineRule="auto"/>
      </w:pPr>
      <w:r>
        <w:rPr>
          <w:color w:val="245C9F"/>
          <w:sz w:val="16"/>
        </w:rPr>
        <w:t>https://investor.sebi.gov.in/</w:t>
      </w:r>
    </w:p>
    <w:p>
      <w:pPr>
        <w:spacing w:after="40" w:before="40" w:line="252" w:lineRule="auto"/>
      </w:pPr>
      <w:r>
        <w:rPr>
          <w:color w:val="245C9F"/>
          <w:sz w:val="16"/>
        </w:rPr>
        <w:t>https://www.cdslindia.com/About/overview.html</w:t>
      </w:r>
    </w:p>
    <w:p>
      <w:pPr>
        <w:spacing w:after="40" w:before="40" w:line="252" w:lineRule="auto"/>
      </w:pPr>
      <w:r>
        <w:rPr>
          <w:color w:val="245C9F"/>
          <w:sz w:val="16"/>
        </w:rPr>
        <w:t>https://zerodha.com/varsity/chapter/clearing-and-settlement-process-2/</w:t>
      </w:r>
    </w:p>
    <w:sectPr w:rsidR="00FC693F" w:rsidRPr="0006063C" w:rsidSect="00034616">
      <w:footerReference w:type="default" r:id="rId9"/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882"/>
        <w:sz w:val="16"/>
      </w:rPr>
      <w:t>Week 2 - FinTech Domain &amp; Software Development Fundamentals | Educational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2A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2B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7A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C9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2B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