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FinTech Research Report: Zerodha</w:t>
      </w:r>
    </w:p>
    <w:p>
      <w:pPr>
        <w:spacing w:after="160"/>
      </w:pPr>
      <w:r>
        <w:rPr>
          <w:i/>
          <w:color w:val="5F6E82"/>
          <w:sz w:val="20"/>
        </w:rPr>
        <w:t>How data analytics can support customer experience and business decisions</w:t>
      </w:r>
    </w:p>
    <w:p>
      <w:r>
        <w:t>Research question: how can an Indian brokerage platform use analytics to improve customer experience and operational decisions? This report is based on public-source desk research and does not claim access to internal dashboards or private customer data.</w:t>
      </w:r>
    </w:p>
    <w:p>
      <w:pPr>
        <w:pStyle w:val="Heading1"/>
      </w:pPr>
      <w:r>
        <w:t>Business context</w:t>
      </w:r>
    </w:p>
    <w:p>
      <w:r>
        <w:t>A digital brokerage depends on trustworthy onboarding, reliable login and quote updates, correct order handling, accurate holdings, clear reporting and responsive support. Analytics links technical health to customer outcomes by detecting journey friction and operational degradation.</w:t>
      </w:r>
    </w:p>
    <w:p>
      <w:pPr>
        <w:pStyle w:val="Heading1"/>
      </w:pPr>
      <w:r>
        <w:t>Evidence from public engineering sources</w:t>
      </w:r>
    </w:p>
    <w:p>
      <w:r>
        <w:t>Zerodha Tech publicly documents a logging pipeline using ClickHouse and Vector, infrastructure monitoring with Prometheus, Grafana and VictoriaMetrics for system and business metrics, and experience operating large PostgreSQL databases. These sources show a focus on observable, scalable technology. The business KPIs below are suggested analysis opportunities, not claimed internal Zerodha metrics.</w:t>
      </w:r>
    </w:p>
    <w:p>
      <w:pPr>
        <w:pStyle w:val="Heading1"/>
      </w:pPr>
      <w:r>
        <w:t>Analytics use cases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shd w:fill="172B4D"/>
          </w:tcPr>
          <w:p>
            <w:pPr>
              <w:spacing w:after="0"/>
            </w:pPr>
            <w:r/>
            <w:r>
              <w:rPr>
                <w:rFonts w:ascii="Aptos" w:hAnsi="Aptos"/>
                <w:b/>
                <w:color w:val="FFFFFF"/>
                <w:sz w:val="15"/>
              </w:rPr>
              <w:t>Journey / area</w:t>
            </w:r>
          </w:p>
        </w:tc>
        <w:tc>
          <w:tcPr>
            <w:tcW w:type="dxa" w:w="3389"/>
            <w:vAlign w:val="center"/>
            <w:shd w:fill="172B4D"/>
          </w:tcPr>
          <w:p>
            <w:pPr>
              <w:spacing w:after="0"/>
            </w:pPr>
            <w:r/>
            <w:r>
              <w:rPr>
                <w:rFonts w:ascii="Aptos" w:hAnsi="Aptos"/>
                <w:b/>
                <w:color w:val="FFFFFF"/>
                <w:sz w:val="15"/>
              </w:rPr>
              <w:t>Useful metrics</w:t>
            </w:r>
          </w:p>
        </w:tc>
        <w:tc>
          <w:tcPr>
            <w:tcW w:type="dxa" w:w="3389"/>
            <w:vAlign w:val="center"/>
            <w:shd w:fill="172B4D"/>
          </w:tcPr>
          <w:p>
            <w:pPr>
              <w:spacing w:after="0"/>
            </w:pPr>
            <w:r/>
            <w:r>
              <w:rPr>
                <w:rFonts w:ascii="Aptos" w:hAnsi="Aptos"/>
                <w:b/>
                <w:color w:val="FFFFFF"/>
                <w:sz w:val="15"/>
              </w:rPr>
              <w:t>Decision opportunity</w:t>
            </w:r>
          </w:p>
        </w:tc>
      </w:tr>
      <w:tr>
        <w:tc>
          <w:tcPr>
            <w:tcW w:type="dxa" w:w="3389"/>
            <w:vAlign w:val="center"/>
          </w:tcPr>
          <w:p>
            <w:pPr>
              <w:spacing w:after="0"/>
            </w:pPr>
            <w:r/>
            <w:r>
              <w:rPr>
                <w:rFonts w:ascii="Aptos" w:hAnsi="Aptos"/>
                <w:b w:val="0"/>
                <w:color w:val="25364A"/>
                <w:sz w:val="15"/>
              </w:rPr>
              <w:t>KYC / onboarding</w:t>
            </w:r>
          </w:p>
        </w:tc>
        <w:tc>
          <w:tcPr>
            <w:tcW w:type="dxa" w:w="3389"/>
            <w:vAlign w:val="center"/>
          </w:tcPr>
          <w:p>
            <w:pPr>
              <w:spacing w:after="0"/>
            </w:pPr>
            <w:r/>
            <w:r>
              <w:rPr>
                <w:rFonts w:ascii="Aptos" w:hAnsi="Aptos"/>
                <w:b w:val="0"/>
                <w:color w:val="25364A"/>
                <w:sz w:val="15"/>
              </w:rPr>
              <w:t>Funnel conversion, median completion time, retry and rejection reasons</w:t>
            </w:r>
          </w:p>
        </w:tc>
        <w:tc>
          <w:tcPr>
            <w:tcW w:type="dxa" w:w="3389"/>
            <w:vAlign w:val="center"/>
          </w:tcPr>
          <w:p>
            <w:pPr>
              <w:spacing w:after="0"/>
            </w:pPr>
            <w:r/>
            <w:r>
              <w:rPr>
                <w:rFonts w:ascii="Aptos" w:hAnsi="Aptos"/>
                <w:b w:val="0"/>
                <w:color w:val="25364A"/>
                <w:sz w:val="15"/>
              </w:rPr>
              <w:t>Identify confusing steps and integration failures</w:t>
            </w:r>
          </w:p>
        </w:tc>
      </w:tr>
      <w:tr>
        <w:tc>
          <w:tcPr>
            <w:tcW w:type="dxa" w:w="3389"/>
            <w:vAlign w:val="center"/>
            <w:shd w:fill="F0F5FA"/>
          </w:tcPr>
          <w:p>
            <w:pPr>
              <w:spacing w:after="0"/>
            </w:pPr>
            <w:r/>
            <w:r>
              <w:rPr>
                <w:rFonts w:ascii="Aptos" w:hAnsi="Aptos"/>
                <w:b w:val="0"/>
                <w:color w:val="25364A"/>
                <w:sz w:val="15"/>
              </w:rPr>
              <w:t>Login / application</w:t>
            </w:r>
          </w:p>
        </w:tc>
        <w:tc>
          <w:tcPr>
            <w:tcW w:type="dxa" w:w="3389"/>
            <w:vAlign w:val="center"/>
            <w:shd w:fill="F0F5FA"/>
          </w:tcPr>
          <w:p>
            <w:pPr>
              <w:spacing w:after="0"/>
            </w:pPr>
            <w:r/>
            <w:r>
              <w:rPr>
                <w:rFonts w:ascii="Aptos" w:hAnsi="Aptos"/>
                <w:b w:val="0"/>
                <w:color w:val="25364A"/>
                <w:sz w:val="15"/>
              </w:rPr>
              <w:t>Availability, p95 latency, error rate, crash-free sessions</w:t>
            </w:r>
          </w:p>
        </w:tc>
        <w:tc>
          <w:tcPr>
            <w:tcW w:type="dxa" w:w="3389"/>
            <w:vAlign w:val="center"/>
            <w:shd w:fill="F0F5FA"/>
          </w:tcPr>
          <w:p>
            <w:pPr>
              <w:spacing w:after="0"/>
            </w:pPr>
            <w:r/>
            <w:r>
              <w:rPr>
                <w:rFonts w:ascii="Aptos" w:hAnsi="Aptos"/>
                <w:b w:val="0"/>
                <w:color w:val="25364A"/>
                <w:sz w:val="15"/>
              </w:rPr>
              <w:t>Detect service degradation and prioritize fixes</w:t>
            </w:r>
          </w:p>
        </w:tc>
      </w:tr>
      <w:tr>
        <w:tc>
          <w:tcPr>
            <w:tcW w:type="dxa" w:w="3389"/>
            <w:vAlign w:val="center"/>
          </w:tcPr>
          <w:p>
            <w:pPr>
              <w:spacing w:after="0"/>
            </w:pPr>
            <w:r/>
            <w:r>
              <w:rPr>
                <w:rFonts w:ascii="Aptos" w:hAnsi="Aptos"/>
                <w:b w:val="0"/>
                <w:color w:val="25364A"/>
                <w:sz w:val="15"/>
              </w:rPr>
              <w:t>Order lifecycle</w:t>
            </w:r>
          </w:p>
        </w:tc>
        <w:tc>
          <w:tcPr>
            <w:tcW w:type="dxa" w:w="3389"/>
            <w:vAlign w:val="center"/>
          </w:tcPr>
          <w:p>
            <w:pPr>
              <w:spacing w:after="0"/>
            </w:pPr>
            <w:r/>
            <w:r>
              <w:rPr>
                <w:rFonts w:ascii="Aptos" w:hAnsi="Aptos"/>
                <w:b w:val="0"/>
                <w:color w:val="25364A"/>
                <w:sz w:val="15"/>
              </w:rPr>
              <w:t>Backend acceptance, rejection reason, acknowledgement latency, duplicate requests</w:t>
            </w:r>
          </w:p>
        </w:tc>
        <w:tc>
          <w:tcPr>
            <w:tcW w:type="dxa" w:w="3389"/>
            <w:vAlign w:val="center"/>
          </w:tcPr>
          <w:p>
            <w:pPr>
              <w:spacing w:after="0"/>
            </w:pPr>
            <w:r/>
            <w:r>
              <w:rPr>
                <w:rFonts w:ascii="Aptos" w:hAnsi="Aptos"/>
                <w:b w:val="0"/>
                <w:color w:val="25364A"/>
                <w:sz w:val="15"/>
              </w:rPr>
              <w:t>Separate validation issues from service/exchange connectivity problems</w:t>
            </w:r>
          </w:p>
        </w:tc>
      </w:tr>
      <w:tr>
        <w:tc>
          <w:tcPr>
            <w:tcW w:type="dxa" w:w="3389"/>
            <w:vAlign w:val="center"/>
            <w:shd w:fill="F0F5FA"/>
          </w:tcPr>
          <w:p>
            <w:pPr>
              <w:spacing w:after="0"/>
            </w:pPr>
            <w:r/>
            <w:r>
              <w:rPr>
                <w:rFonts w:ascii="Aptos" w:hAnsi="Aptos"/>
                <w:b w:val="0"/>
                <w:color w:val="25364A"/>
                <w:sz w:val="15"/>
              </w:rPr>
              <w:t>Portfolio / watchlist</w:t>
            </w:r>
          </w:p>
        </w:tc>
        <w:tc>
          <w:tcPr>
            <w:tcW w:type="dxa" w:w="3389"/>
            <w:vAlign w:val="center"/>
            <w:shd w:fill="F0F5FA"/>
          </w:tcPr>
          <w:p>
            <w:pPr>
              <w:spacing w:after="0"/>
            </w:pPr>
            <w:r/>
            <w:r>
              <w:rPr>
                <w:rFonts w:ascii="Aptos" w:hAnsi="Aptos"/>
                <w:b w:val="0"/>
                <w:color w:val="25364A"/>
                <w:sz w:val="15"/>
              </w:rPr>
              <w:t>Refresh latency, stale-data incidents, page-load time</w:t>
            </w:r>
          </w:p>
        </w:tc>
        <w:tc>
          <w:tcPr>
            <w:tcW w:type="dxa" w:w="3389"/>
            <w:vAlign w:val="center"/>
            <w:shd w:fill="F0F5FA"/>
          </w:tcPr>
          <w:p>
            <w:pPr>
              <w:spacing w:after="0"/>
            </w:pPr>
            <w:r/>
            <w:r>
              <w:rPr>
                <w:rFonts w:ascii="Aptos" w:hAnsi="Aptos"/>
                <w:b w:val="0"/>
                <w:color w:val="25364A"/>
                <w:sz w:val="15"/>
              </w:rPr>
              <w:t>Improve responsiveness and data-freshness messaging</w:t>
            </w:r>
          </w:p>
        </w:tc>
      </w:tr>
      <w:tr>
        <w:tc>
          <w:tcPr>
            <w:tcW w:type="dxa" w:w="3389"/>
            <w:vAlign w:val="center"/>
          </w:tcPr>
          <w:p>
            <w:pPr>
              <w:spacing w:after="0"/>
            </w:pPr>
            <w:r/>
            <w:r>
              <w:rPr>
                <w:rFonts w:ascii="Aptos" w:hAnsi="Aptos"/>
                <w:b w:val="0"/>
                <w:color w:val="25364A"/>
                <w:sz w:val="15"/>
              </w:rPr>
              <w:t>Customer support</w:t>
            </w:r>
          </w:p>
        </w:tc>
        <w:tc>
          <w:tcPr>
            <w:tcW w:type="dxa" w:w="3389"/>
            <w:vAlign w:val="center"/>
          </w:tcPr>
          <w:p>
            <w:pPr>
              <w:spacing w:after="0"/>
            </w:pPr>
            <w:r/>
            <w:r>
              <w:rPr>
                <w:rFonts w:ascii="Aptos" w:hAnsi="Aptos"/>
                <w:b w:val="0"/>
                <w:color w:val="25364A"/>
                <w:sz w:val="15"/>
              </w:rPr>
              <w:t>Contacts per 1,000 active users, repeat contacts, resolution time</w:t>
            </w:r>
          </w:p>
        </w:tc>
        <w:tc>
          <w:tcPr>
            <w:tcW w:type="dxa" w:w="3389"/>
            <w:vAlign w:val="center"/>
          </w:tcPr>
          <w:p>
            <w:pPr>
              <w:spacing w:after="0"/>
            </w:pPr>
            <w:r/>
            <w:r>
              <w:rPr>
                <w:rFonts w:ascii="Aptos" w:hAnsi="Aptos"/>
                <w:b w:val="0"/>
                <w:color w:val="25364A"/>
                <w:sz w:val="15"/>
              </w:rPr>
              <w:t>Fix recurring product friction and improve help content</w:t>
            </w:r>
          </w:p>
        </w:tc>
      </w:tr>
      <w:tr>
        <w:tc>
          <w:tcPr>
            <w:tcW w:type="dxa" w:w="3389"/>
            <w:vAlign w:val="center"/>
            <w:shd w:fill="F0F5FA"/>
          </w:tcPr>
          <w:p>
            <w:pPr>
              <w:spacing w:after="0"/>
            </w:pPr>
            <w:r/>
            <w:r>
              <w:rPr>
                <w:rFonts w:ascii="Aptos" w:hAnsi="Aptos"/>
                <w:b w:val="0"/>
                <w:color w:val="25364A"/>
                <w:sz w:val="15"/>
              </w:rPr>
              <w:t>Operations</w:t>
            </w:r>
          </w:p>
        </w:tc>
        <w:tc>
          <w:tcPr>
            <w:tcW w:type="dxa" w:w="3389"/>
            <w:vAlign w:val="center"/>
            <w:shd w:fill="F0F5FA"/>
          </w:tcPr>
          <w:p>
            <w:pPr>
              <w:spacing w:after="0"/>
            </w:pPr>
            <w:r/>
            <w:r>
              <w:rPr>
                <w:rFonts w:ascii="Aptos" w:hAnsi="Aptos"/>
                <w:b w:val="0"/>
                <w:color w:val="25364A"/>
                <w:sz w:val="15"/>
              </w:rPr>
              <w:t>Log error classes, traces, saturation, alert quality, data reconciliation differences</w:t>
            </w:r>
          </w:p>
        </w:tc>
        <w:tc>
          <w:tcPr>
            <w:tcW w:type="dxa" w:w="3389"/>
            <w:vAlign w:val="center"/>
            <w:shd w:fill="F0F5FA"/>
          </w:tcPr>
          <w:p>
            <w:pPr>
              <w:spacing w:after="0"/>
            </w:pPr>
            <w:r/>
            <w:r>
              <w:rPr>
                <w:rFonts w:ascii="Aptos" w:hAnsi="Aptos"/>
                <w:b w:val="0"/>
                <w:color w:val="25364A"/>
                <w:sz w:val="15"/>
              </w:rPr>
              <w:t>Reduce time to diagnose incidents and prevent recurrence</w:t>
            </w:r>
          </w:p>
        </w:tc>
      </w:tr>
    </w:tbl>
    <w:p>
      <w:pPr>
        <w:spacing w:after="0"/>
      </w:pPr>
    </w:p>
    <w:p>
      <w:pPr>
        <w:pStyle w:val="Heading1"/>
      </w:pPr>
      <w:r>
        <w:t>Recommended analyst workflow</w:t>
      </w:r>
    </w:p>
    <w:p>
      <w:pPr>
        <w:pStyle w:val="ListBullet"/>
        <w:spacing w:after="20"/>
      </w:pPr>
      <w:r>
        <w:t>Define the business question and metric contract with product/engineering teams.</w:t>
      </w:r>
    </w:p>
    <w:p>
      <w:pPr>
        <w:pStyle w:val="ListBullet"/>
        <w:spacing w:after="20"/>
      </w:pPr>
      <w:r>
        <w:t>Extract appropriately permissioned, de-identified events into a controlled analytics store.</w:t>
      </w:r>
    </w:p>
    <w:p>
      <w:pPr>
        <w:pStyle w:val="ListBullet"/>
        <w:spacing w:after="20"/>
      </w:pPr>
      <w:r>
        <w:t>Validate timestamps/time zones, event coverage, duplicate/retry behavior and release windows.</w:t>
      </w:r>
    </w:p>
    <w:p>
      <w:pPr>
        <w:pStyle w:val="ListBullet"/>
        <w:spacing w:after="20"/>
      </w:pPr>
      <w:r>
        <w:t>Segment results by app version, OS, network or journey step where lawful and necessary.</w:t>
      </w:r>
    </w:p>
    <w:p>
      <w:pPr>
        <w:pStyle w:val="ListBullet"/>
        <w:spacing w:after="20"/>
      </w:pPr>
      <w:r>
        <w:t>Use logs/traces and incident history to understand causes; correlation alone does not establish causality.</w:t>
      </w:r>
    </w:p>
    <w:p>
      <w:pPr>
        <w:pStyle w:val="ListBullet"/>
        <w:spacing w:after="20"/>
      </w:pPr>
      <w:r>
        <w:t>Recommend changes, specify guardrail metrics, monitor the rollout and document results.</w:t>
      </w:r>
    </w:p>
    <w:p>
      <w:pPr>
        <w:pStyle w:val="Heading1"/>
      </w:pPr>
      <w:r>
        <w:t>Example KPI framework</w:t>
      </w:r>
    </w:p>
    <w:p>
      <w:r>
        <w:t>Reliability: successful valid requests / all valid requests, p95 latency, uptime, incident minutes. Onboarding: KYC funnel conversion and median completion time. Order lifecycle: valid requests accepted by backend, rejection mix and reconciliation exceptions. Support: issue rate and repeat contact rate. Data quality: event lag, missing events, duplicates and differences between operational and analytical counts.</w:t>
      </w:r>
    </w:p>
    <w:p>
      <w:pPr>
        <w:pStyle w:val="Heading1"/>
      </w:pPr>
      <w:r>
        <w:t>Conclusion</w:t>
      </w:r>
    </w:p>
    <w:p>
      <w:r>
        <w:t>Analytics can help a brokerage connect system reliability with customer outcomes. Monitoring detects degradation, structured logs make failures searchable, data modeling provides reliable aggregates, and dashboards expose friction in onboarding and order journeys. Financial workloads still require access control, auditability, reconciliations and safeguards that analytics does not bypass.</w:t>
      </w:r>
    </w:p>
    <w:p>
      <w:pPr>
        <w:pStyle w:val="Heading1"/>
      </w:pPr>
      <w:r>
        <w:t>Public sources</w:t>
      </w:r>
    </w:p>
    <w:p>
      <w:pPr>
        <w:spacing w:after="20"/>
      </w:pPr>
      <w:r>
        <w:rPr>
          <w:color w:val="245C9F"/>
          <w:sz w:val="16"/>
        </w:rPr>
        <w:t>https://zerodha.tech/</w:t>
      </w:r>
    </w:p>
    <w:p>
      <w:pPr>
        <w:spacing w:after="20"/>
      </w:pPr>
      <w:r>
        <w:rPr>
          <w:color w:val="245C9F"/>
          <w:sz w:val="16"/>
        </w:rPr>
        <w:t>https://zerodha.tech/blog/infrastructure-monitoring-with-prometheus-at-zerodha/</w:t>
      </w:r>
    </w:p>
    <w:p>
      <w:pPr>
        <w:spacing w:after="20"/>
      </w:pPr>
      <w:r>
        <w:rPr>
          <w:color w:val="245C9F"/>
          <w:sz w:val="16"/>
        </w:rPr>
        <w:t>https://zerodha.tech/blog/logging-at-zerodha/</w:t>
      </w:r>
    </w:p>
    <w:p>
      <w:pPr>
        <w:spacing w:after="20"/>
      </w:pPr>
      <w:r>
        <w:rPr>
          <w:color w:val="245C9F"/>
          <w:sz w:val="16"/>
        </w:rPr>
        <w:t>https://zerodha.tech/blog/working-with-postgresql/</w:t>
      </w:r>
    </w:p>
    <w:p>
      <w:pPr>
        <w:spacing w:after="20"/>
      </w:pPr>
      <w:r>
        <w:rPr>
          <w:color w:val="245C9F"/>
          <w:sz w:val="16"/>
        </w:rPr>
        <w:t>https://www.cdslindia.com/About/overview.html</w:t>
      </w:r>
    </w:p>
    <w:p>
      <w:pPr>
        <w:spacing w:after="20"/>
      </w:pPr>
      <w:r>
        <w:rPr>
          <w:color w:val="245C9F"/>
          <w:sz w:val="16"/>
        </w:rPr>
        <w:t>https://zerodha.com/varsity/chapter/clearing-and-settlement-process-2/</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Week 2 - FinTech Domain &amp; Software Development Fundamentals | Educational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2B4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57A78"/>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45C9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