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t>Financial Statement Analysis: Infosys Limited</w:t>
      </w:r>
    </w:p>
    <w:p>
      <w:pPr>
        <w:spacing w:after="160"/>
      </w:pPr>
      <w:r>
        <w:rPr>
          <w:i/>
          <w:color w:val="5F6E82"/>
          <w:sz w:val="20"/>
        </w:rPr>
        <w:t>FY2025-26 vs FY2024-25 | Consolidated Ind AS | Values in ₹ crore except EPS</w:t>
      </w:r>
    </w:p>
    <w:p>
      <w:r>
        <w:t>Purpose: historical financial interpretation for a FinTech internship exercise. This is not investment advice and includes no buy/sell/hold recommendation.</w:t>
      </w:r>
    </w:p>
    <w:p>
      <w:pPr>
        <w:pStyle w:val="Heading1"/>
      </w:pPr>
      <w:r>
        <w:t>Executive summary</w:t>
      </w:r>
    </w:p>
    <w:p>
      <w:r>
        <w:t>Revenue grew 9.6% to ₹178,650 crore. Profit for the year rose 10.2% to ₹29,474 crore and basic EPS rose 11.0% to ₹71.58. However, operating cash flow declined 4.8% and the current ratio declined from 2.27x to 1.98x, making cash conversion and working capital useful follow-up areas.</w:t>
      </w:r>
    </w:p>
    <w:p>
      <w:pPr>
        <w:pStyle w:val="Heading1"/>
      </w:pPr>
      <w:r>
        <w:t>1. Profit &amp; Loss analysis</w:t>
      </w:r>
    </w:p>
    <w:tbl>
      <w:tblPr>
        <w:tblStyle w:val="LightShading-Accent1"/>
        <w:tblW w:type="auto" w:w="0"/>
        <w:jc w:val="center"/>
        <w:tblLook w:firstColumn="1" w:firstRow="1" w:lastColumn="0" w:lastRow="0" w:noHBand="0" w:noVBand="1" w:val="04A0"/>
      </w:tblPr>
      <w:tblGrid>
        <w:gridCol w:w="2541"/>
        <w:gridCol w:w="2541"/>
        <w:gridCol w:w="2541"/>
        <w:gridCol w:w="2541"/>
      </w:tblGrid>
      <w:tr>
        <w:tc>
          <w:tcPr>
            <w:tcW w:type="dxa" w:w="2541"/>
            <w:vAlign w:val="center"/>
            <w:shd w:fill="172B4D"/>
          </w:tcPr>
          <w:p>
            <w:pPr>
              <w:spacing w:after="0"/>
            </w:pPr>
            <w:r/>
            <w:r>
              <w:rPr>
                <w:rFonts w:ascii="Aptos" w:hAnsi="Aptos"/>
                <w:b/>
                <w:color w:val="FFFFFF"/>
                <w:sz w:val="16"/>
              </w:rPr>
              <w:t>Metric</w:t>
            </w:r>
          </w:p>
        </w:tc>
        <w:tc>
          <w:tcPr>
            <w:tcW w:type="dxa" w:w="2541"/>
            <w:vAlign w:val="center"/>
            <w:shd w:fill="172B4D"/>
          </w:tcPr>
          <w:p>
            <w:pPr>
              <w:spacing w:after="0"/>
            </w:pPr>
            <w:r/>
            <w:r>
              <w:rPr>
                <w:rFonts w:ascii="Aptos" w:hAnsi="Aptos"/>
                <w:b/>
                <w:color w:val="FFFFFF"/>
                <w:sz w:val="16"/>
              </w:rPr>
              <w:t>FY2024-25</w:t>
            </w:r>
          </w:p>
        </w:tc>
        <w:tc>
          <w:tcPr>
            <w:tcW w:type="dxa" w:w="2541"/>
            <w:vAlign w:val="center"/>
            <w:shd w:fill="172B4D"/>
          </w:tcPr>
          <w:p>
            <w:pPr>
              <w:spacing w:after="0"/>
            </w:pPr>
            <w:r/>
            <w:r>
              <w:rPr>
                <w:rFonts w:ascii="Aptos" w:hAnsi="Aptos"/>
                <w:b/>
                <w:color w:val="FFFFFF"/>
                <w:sz w:val="16"/>
              </w:rPr>
              <w:t>FY2025-26</w:t>
            </w:r>
          </w:p>
        </w:tc>
        <w:tc>
          <w:tcPr>
            <w:tcW w:type="dxa" w:w="2541"/>
            <w:vAlign w:val="center"/>
            <w:shd w:fill="172B4D"/>
          </w:tcPr>
          <w:p>
            <w:pPr>
              <w:spacing w:after="0"/>
            </w:pPr>
            <w:r/>
            <w:r>
              <w:rPr>
                <w:rFonts w:ascii="Aptos" w:hAnsi="Aptos"/>
                <w:b/>
                <w:color w:val="FFFFFF"/>
                <w:sz w:val="16"/>
              </w:rPr>
              <w:t>YoY change</w:t>
            </w:r>
          </w:p>
        </w:tc>
      </w:tr>
      <w:tr>
        <w:tc>
          <w:tcPr>
            <w:tcW w:type="dxa" w:w="2541"/>
            <w:vAlign w:val="center"/>
          </w:tcPr>
          <w:p>
            <w:pPr>
              <w:spacing w:after="0"/>
            </w:pPr>
            <w:r/>
            <w:r>
              <w:rPr>
                <w:rFonts w:ascii="Aptos" w:hAnsi="Aptos"/>
                <w:b w:val="0"/>
                <w:color w:val="25364A"/>
                <w:sz w:val="16"/>
              </w:rPr>
              <w:t>Revenue from operations</w:t>
            </w:r>
          </w:p>
        </w:tc>
        <w:tc>
          <w:tcPr>
            <w:tcW w:type="dxa" w:w="2541"/>
            <w:vAlign w:val="center"/>
          </w:tcPr>
          <w:p>
            <w:pPr>
              <w:spacing w:after="0"/>
            </w:pPr>
            <w:r/>
            <w:r>
              <w:rPr>
                <w:rFonts w:ascii="Aptos" w:hAnsi="Aptos"/>
                <w:b w:val="0"/>
                <w:color w:val="25364A"/>
                <w:sz w:val="16"/>
              </w:rPr>
              <w:t>162,990</w:t>
            </w:r>
          </w:p>
        </w:tc>
        <w:tc>
          <w:tcPr>
            <w:tcW w:type="dxa" w:w="2541"/>
            <w:vAlign w:val="center"/>
          </w:tcPr>
          <w:p>
            <w:pPr>
              <w:spacing w:after="0"/>
            </w:pPr>
            <w:r/>
            <w:r>
              <w:rPr>
                <w:rFonts w:ascii="Aptos" w:hAnsi="Aptos"/>
                <w:b w:val="0"/>
                <w:color w:val="25364A"/>
                <w:sz w:val="16"/>
              </w:rPr>
              <w:t>178,650</w:t>
            </w:r>
          </w:p>
        </w:tc>
        <w:tc>
          <w:tcPr>
            <w:tcW w:type="dxa" w:w="2541"/>
            <w:vAlign w:val="center"/>
          </w:tcPr>
          <w:p>
            <w:pPr>
              <w:spacing w:after="0"/>
            </w:pPr>
            <w:r/>
            <w:r>
              <w:rPr>
                <w:rFonts w:ascii="Aptos" w:hAnsi="Aptos"/>
                <w:b w:val="0"/>
                <w:color w:val="25364A"/>
                <w:sz w:val="16"/>
              </w:rPr>
              <w:t>+9.6%</w:t>
            </w:r>
          </w:p>
        </w:tc>
      </w:tr>
      <w:tr>
        <w:tc>
          <w:tcPr>
            <w:tcW w:type="dxa" w:w="2541"/>
            <w:vAlign w:val="center"/>
            <w:shd w:fill="F0F5FA"/>
          </w:tcPr>
          <w:p>
            <w:pPr>
              <w:spacing w:after="0"/>
            </w:pPr>
            <w:r/>
            <w:r>
              <w:rPr>
                <w:rFonts w:ascii="Aptos" w:hAnsi="Aptos"/>
                <w:b w:val="0"/>
                <w:color w:val="25364A"/>
                <w:sz w:val="16"/>
              </w:rPr>
              <w:t>Total expenses</w:t>
            </w:r>
          </w:p>
        </w:tc>
        <w:tc>
          <w:tcPr>
            <w:tcW w:type="dxa" w:w="2541"/>
            <w:vAlign w:val="center"/>
            <w:shd w:fill="F0F5FA"/>
          </w:tcPr>
          <w:p>
            <w:pPr>
              <w:spacing w:after="0"/>
            </w:pPr>
            <w:r/>
            <w:r>
              <w:rPr>
                <w:rFonts w:ascii="Aptos" w:hAnsi="Aptos"/>
                <w:b w:val="0"/>
                <w:color w:val="25364A"/>
                <w:sz w:val="16"/>
              </w:rPr>
              <w:t>128,982</w:t>
            </w:r>
          </w:p>
        </w:tc>
        <w:tc>
          <w:tcPr>
            <w:tcW w:type="dxa" w:w="2541"/>
            <w:vAlign w:val="center"/>
            <w:shd w:fill="F0F5FA"/>
          </w:tcPr>
          <w:p>
            <w:pPr>
              <w:spacing w:after="0"/>
            </w:pPr>
            <w:r/>
            <w:r>
              <w:rPr>
                <w:rFonts w:ascii="Aptos" w:hAnsi="Aptos"/>
                <w:b w:val="0"/>
                <w:color w:val="25364A"/>
                <w:sz w:val="16"/>
              </w:rPr>
              <w:t>141,688</w:t>
            </w:r>
          </w:p>
        </w:tc>
        <w:tc>
          <w:tcPr>
            <w:tcW w:type="dxa" w:w="2541"/>
            <w:vAlign w:val="center"/>
            <w:shd w:fill="F0F5FA"/>
          </w:tcPr>
          <w:p>
            <w:pPr>
              <w:spacing w:after="0"/>
            </w:pPr>
            <w:r/>
            <w:r>
              <w:rPr>
                <w:rFonts w:ascii="Aptos" w:hAnsi="Aptos"/>
                <w:b w:val="0"/>
                <w:color w:val="25364A"/>
                <w:sz w:val="16"/>
              </w:rPr>
              <w:t>+9.9%</w:t>
            </w:r>
          </w:p>
        </w:tc>
      </w:tr>
      <w:tr>
        <w:tc>
          <w:tcPr>
            <w:tcW w:type="dxa" w:w="2541"/>
            <w:vAlign w:val="center"/>
          </w:tcPr>
          <w:p>
            <w:pPr>
              <w:spacing w:after="0"/>
            </w:pPr>
            <w:r/>
            <w:r>
              <w:rPr>
                <w:rFonts w:ascii="Aptos" w:hAnsi="Aptos"/>
                <w:b w:val="0"/>
                <w:color w:val="25364A"/>
                <w:sz w:val="16"/>
              </w:rPr>
              <w:t>Profit before exceptional item and tax</w:t>
            </w:r>
          </w:p>
        </w:tc>
        <w:tc>
          <w:tcPr>
            <w:tcW w:type="dxa" w:w="2541"/>
            <w:vAlign w:val="center"/>
          </w:tcPr>
          <w:p>
            <w:pPr>
              <w:spacing w:after="0"/>
            </w:pPr>
            <w:r/>
            <w:r>
              <w:rPr>
                <w:rFonts w:ascii="Aptos" w:hAnsi="Aptos"/>
                <w:b w:val="0"/>
                <w:color w:val="25364A"/>
                <w:sz w:val="16"/>
              </w:rPr>
              <w:t>37,608</w:t>
            </w:r>
          </w:p>
        </w:tc>
        <w:tc>
          <w:tcPr>
            <w:tcW w:type="dxa" w:w="2541"/>
            <w:vAlign w:val="center"/>
          </w:tcPr>
          <w:p>
            <w:pPr>
              <w:spacing w:after="0"/>
            </w:pPr>
            <w:r/>
            <w:r>
              <w:rPr>
                <w:rFonts w:ascii="Aptos" w:hAnsi="Aptos"/>
                <w:b w:val="0"/>
                <w:color w:val="25364A"/>
                <w:sz w:val="16"/>
              </w:rPr>
              <w:t>41,284</w:t>
            </w:r>
          </w:p>
        </w:tc>
        <w:tc>
          <w:tcPr>
            <w:tcW w:type="dxa" w:w="2541"/>
            <w:vAlign w:val="center"/>
          </w:tcPr>
          <w:p>
            <w:pPr>
              <w:spacing w:after="0"/>
            </w:pPr>
            <w:r/>
            <w:r>
              <w:rPr>
                <w:rFonts w:ascii="Aptos" w:hAnsi="Aptos"/>
                <w:b w:val="0"/>
                <w:color w:val="25364A"/>
                <w:sz w:val="16"/>
              </w:rPr>
              <w:t>+9.8%</w:t>
            </w:r>
          </w:p>
        </w:tc>
      </w:tr>
      <w:tr>
        <w:tc>
          <w:tcPr>
            <w:tcW w:type="dxa" w:w="2541"/>
            <w:vAlign w:val="center"/>
            <w:shd w:fill="F0F5FA"/>
          </w:tcPr>
          <w:p>
            <w:pPr>
              <w:spacing w:after="0"/>
            </w:pPr>
            <w:r/>
            <w:r>
              <w:rPr>
                <w:rFonts w:ascii="Aptos" w:hAnsi="Aptos"/>
                <w:b w:val="0"/>
                <w:color w:val="25364A"/>
                <w:sz w:val="16"/>
              </w:rPr>
              <w:t>Profit for the year</w:t>
            </w:r>
          </w:p>
        </w:tc>
        <w:tc>
          <w:tcPr>
            <w:tcW w:type="dxa" w:w="2541"/>
            <w:vAlign w:val="center"/>
            <w:shd w:fill="F0F5FA"/>
          </w:tcPr>
          <w:p>
            <w:pPr>
              <w:spacing w:after="0"/>
            </w:pPr>
            <w:r/>
            <w:r>
              <w:rPr>
                <w:rFonts w:ascii="Aptos" w:hAnsi="Aptos"/>
                <w:b w:val="0"/>
                <w:color w:val="25364A"/>
                <w:sz w:val="16"/>
              </w:rPr>
              <w:t>26,750</w:t>
            </w:r>
          </w:p>
        </w:tc>
        <w:tc>
          <w:tcPr>
            <w:tcW w:type="dxa" w:w="2541"/>
            <w:vAlign w:val="center"/>
            <w:shd w:fill="F0F5FA"/>
          </w:tcPr>
          <w:p>
            <w:pPr>
              <w:spacing w:after="0"/>
            </w:pPr>
            <w:r/>
            <w:r>
              <w:rPr>
                <w:rFonts w:ascii="Aptos" w:hAnsi="Aptos"/>
                <w:b w:val="0"/>
                <w:color w:val="25364A"/>
                <w:sz w:val="16"/>
              </w:rPr>
              <w:t>29,474</w:t>
            </w:r>
          </w:p>
        </w:tc>
        <w:tc>
          <w:tcPr>
            <w:tcW w:type="dxa" w:w="2541"/>
            <w:vAlign w:val="center"/>
            <w:shd w:fill="F0F5FA"/>
          </w:tcPr>
          <w:p>
            <w:pPr>
              <w:spacing w:after="0"/>
            </w:pPr>
            <w:r/>
            <w:r>
              <w:rPr>
                <w:rFonts w:ascii="Aptos" w:hAnsi="Aptos"/>
                <w:b w:val="0"/>
                <w:color w:val="25364A"/>
                <w:sz w:val="16"/>
              </w:rPr>
              <w:t>+10.2%</w:t>
            </w:r>
          </w:p>
        </w:tc>
      </w:tr>
      <w:tr>
        <w:tc>
          <w:tcPr>
            <w:tcW w:type="dxa" w:w="2541"/>
            <w:vAlign w:val="center"/>
          </w:tcPr>
          <w:p>
            <w:pPr>
              <w:spacing w:after="0"/>
            </w:pPr>
            <w:r/>
            <w:r>
              <w:rPr>
                <w:rFonts w:ascii="Aptos" w:hAnsi="Aptos"/>
                <w:b w:val="0"/>
                <w:color w:val="25364A"/>
                <w:sz w:val="16"/>
              </w:rPr>
              <w:t>Profit attributable to owners</w:t>
            </w:r>
          </w:p>
        </w:tc>
        <w:tc>
          <w:tcPr>
            <w:tcW w:type="dxa" w:w="2541"/>
            <w:vAlign w:val="center"/>
          </w:tcPr>
          <w:p>
            <w:pPr>
              <w:spacing w:after="0"/>
            </w:pPr>
            <w:r/>
            <w:r>
              <w:rPr>
                <w:rFonts w:ascii="Aptos" w:hAnsi="Aptos"/>
                <w:b w:val="0"/>
                <w:color w:val="25364A"/>
                <w:sz w:val="16"/>
              </w:rPr>
              <w:t>26,713</w:t>
            </w:r>
          </w:p>
        </w:tc>
        <w:tc>
          <w:tcPr>
            <w:tcW w:type="dxa" w:w="2541"/>
            <w:vAlign w:val="center"/>
          </w:tcPr>
          <w:p>
            <w:pPr>
              <w:spacing w:after="0"/>
            </w:pPr>
            <w:r/>
            <w:r>
              <w:rPr>
                <w:rFonts w:ascii="Aptos" w:hAnsi="Aptos"/>
                <w:b w:val="0"/>
                <w:color w:val="25364A"/>
                <w:sz w:val="16"/>
              </w:rPr>
              <w:t>29,440</w:t>
            </w:r>
          </w:p>
        </w:tc>
        <w:tc>
          <w:tcPr>
            <w:tcW w:type="dxa" w:w="2541"/>
            <w:vAlign w:val="center"/>
          </w:tcPr>
          <w:p>
            <w:pPr>
              <w:spacing w:after="0"/>
            </w:pPr>
            <w:r/>
            <w:r>
              <w:rPr>
                <w:rFonts w:ascii="Aptos" w:hAnsi="Aptos"/>
                <w:b w:val="0"/>
                <w:color w:val="25364A"/>
                <w:sz w:val="16"/>
              </w:rPr>
              <w:t>+10.2%</w:t>
            </w:r>
          </w:p>
        </w:tc>
      </w:tr>
      <w:tr>
        <w:tc>
          <w:tcPr>
            <w:tcW w:type="dxa" w:w="2541"/>
            <w:vAlign w:val="center"/>
            <w:shd w:fill="F0F5FA"/>
          </w:tcPr>
          <w:p>
            <w:pPr>
              <w:spacing w:after="0"/>
            </w:pPr>
            <w:r/>
            <w:r>
              <w:rPr>
                <w:rFonts w:ascii="Aptos" w:hAnsi="Aptos"/>
                <w:b w:val="0"/>
                <w:color w:val="25364A"/>
                <w:sz w:val="16"/>
              </w:rPr>
              <w:t>Basic EPS (₹)</w:t>
            </w:r>
          </w:p>
        </w:tc>
        <w:tc>
          <w:tcPr>
            <w:tcW w:type="dxa" w:w="2541"/>
            <w:vAlign w:val="center"/>
            <w:shd w:fill="F0F5FA"/>
          </w:tcPr>
          <w:p>
            <w:pPr>
              <w:spacing w:after="0"/>
            </w:pPr>
            <w:r/>
            <w:r>
              <w:rPr>
                <w:rFonts w:ascii="Aptos" w:hAnsi="Aptos"/>
                <w:b w:val="0"/>
                <w:color w:val="25364A"/>
                <w:sz w:val="16"/>
              </w:rPr>
              <w:t>64.50</w:t>
            </w:r>
          </w:p>
        </w:tc>
        <w:tc>
          <w:tcPr>
            <w:tcW w:type="dxa" w:w="2541"/>
            <w:vAlign w:val="center"/>
            <w:shd w:fill="F0F5FA"/>
          </w:tcPr>
          <w:p>
            <w:pPr>
              <w:spacing w:after="0"/>
            </w:pPr>
            <w:r/>
            <w:r>
              <w:rPr>
                <w:rFonts w:ascii="Aptos" w:hAnsi="Aptos"/>
                <w:b w:val="0"/>
                <w:color w:val="25364A"/>
                <w:sz w:val="16"/>
              </w:rPr>
              <w:t>71.58</w:t>
            </w:r>
          </w:p>
        </w:tc>
        <w:tc>
          <w:tcPr>
            <w:tcW w:type="dxa" w:w="2541"/>
            <w:vAlign w:val="center"/>
            <w:shd w:fill="F0F5FA"/>
          </w:tcPr>
          <w:p>
            <w:pPr>
              <w:spacing w:after="0"/>
            </w:pPr>
            <w:r/>
            <w:r>
              <w:rPr>
                <w:rFonts w:ascii="Aptos" w:hAnsi="Aptos"/>
                <w:b w:val="0"/>
                <w:color w:val="25364A"/>
                <w:sz w:val="16"/>
              </w:rPr>
              <w:t>+11.0%</w:t>
            </w:r>
          </w:p>
        </w:tc>
      </w:tr>
    </w:tbl>
    <w:p>
      <w:pPr>
        <w:spacing w:after="0"/>
      </w:pPr>
    </w:p>
    <w:p>
      <w:r>
        <w:t>Profit-for-year margin = profit for year / revenue. It was 16.41% in FY2024-25 and 16.50% in FY2025-26. This slight increase suggests profit grew marginally faster than revenue. Expenses increased 9.9%, close to revenue growth. Do not attribute changes to a single factor without reviewing cost notes, segments and management commentary.</w:t>
      </w:r>
    </w:p>
    <w:p>
      <w:pPr>
        <w:pStyle w:val="Heading1"/>
      </w:pPr>
      <w:r>
        <w:t>2. Balance Sheet analysis</w:t>
      </w:r>
    </w:p>
    <w:tbl>
      <w:tblPr>
        <w:tblStyle w:val="LightShading-Accent1"/>
        <w:tblW w:type="auto" w:w="0"/>
        <w:jc w:val="center"/>
        <w:tblLook w:firstColumn="1" w:firstRow="1" w:lastColumn="0" w:lastRow="0" w:noHBand="0" w:noVBand="1" w:val="04A0"/>
      </w:tblPr>
      <w:tblGrid>
        <w:gridCol w:w="2541"/>
        <w:gridCol w:w="2541"/>
        <w:gridCol w:w="2541"/>
        <w:gridCol w:w="2541"/>
      </w:tblGrid>
      <w:tr>
        <w:tc>
          <w:tcPr>
            <w:tcW w:type="dxa" w:w="2541"/>
            <w:vAlign w:val="center"/>
            <w:shd w:fill="172B4D"/>
          </w:tcPr>
          <w:p>
            <w:pPr>
              <w:spacing w:after="0"/>
            </w:pPr>
            <w:r/>
            <w:r>
              <w:rPr>
                <w:rFonts w:ascii="Aptos" w:hAnsi="Aptos"/>
                <w:b/>
                <w:color w:val="FFFFFF"/>
                <w:sz w:val="16"/>
              </w:rPr>
              <w:t>Metric</w:t>
            </w:r>
          </w:p>
        </w:tc>
        <w:tc>
          <w:tcPr>
            <w:tcW w:type="dxa" w:w="2541"/>
            <w:vAlign w:val="center"/>
            <w:shd w:fill="172B4D"/>
          </w:tcPr>
          <w:p>
            <w:pPr>
              <w:spacing w:after="0"/>
            </w:pPr>
            <w:r/>
            <w:r>
              <w:rPr>
                <w:rFonts w:ascii="Aptos" w:hAnsi="Aptos"/>
                <w:b/>
                <w:color w:val="FFFFFF"/>
                <w:sz w:val="16"/>
              </w:rPr>
              <w:t>FY2024-25</w:t>
            </w:r>
          </w:p>
        </w:tc>
        <w:tc>
          <w:tcPr>
            <w:tcW w:type="dxa" w:w="2541"/>
            <w:vAlign w:val="center"/>
            <w:shd w:fill="172B4D"/>
          </w:tcPr>
          <w:p>
            <w:pPr>
              <w:spacing w:after="0"/>
            </w:pPr>
            <w:r/>
            <w:r>
              <w:rPr>
                <w:rFonts w:ascii="Aptos" w:hAnsi="Aptos"/>
                <w:b/>
                <w:color w:val="FFFFFF"/>
                <w:sz w:val="16"/>
              </w:rPr>
              <w:t>FY2025-26</w:t>
            </w:r>
          </w:p>
        </w:tc>
        <w:tc>
          <w:tcPr>
            <w:tcW w:type="dxa" w:w="2541"/>
            <w:vAlign w:val="center"/>
            <w:shd w:fill="172B4D"/>
          </w:tcPr>
          <w:p>
            <w:pPr>
              <w:spacing w:after="0"/>
            </w:pPr>
            <w:r/>
            <w:r>
              <w:rPr>
                <w:rFonts w:ascii="Aptos" w:hAnsi="Aptos"/>
                <w:b/>
                <w:color w:val="FFFFFF"/>
                <w:sz w:val="16"/>
              </w:rPr>
              <w:t>YoY change</w:t>
            </w:r>
          </w:p>
        </w:tc>
      </w:tr>
      <w:tr>
        <w:tc>
          <w:tcPr>
            <w:tcW w:type="dxa" w:w="2541"/>
            <w:vAlign w:val="center"/>
          </w:tcPr>
          <w:p>
            <w:pPr>
              <w:spacing w:after="0"/>
            </w:pPr>
            <w:r/>
            <w:r>
              <w:rPr>
                <w:rFonts w:ascii="Aptos" w:hAnsi="Aptos"/>
                <w:b w:val="0"/>
                <w:color w:val="25364A"/>
                <w:sz w:val="16"/>
              </w:rPr>
              <w:t>Total assets</w:t>
            </w:r>
          </w:p>
        </w:tc>
        <w:tc>
          <w:tcPr>
            <w:tcW w:type="dxa" w:w="2541"/>
            <w:vAlign w:val="center"/>
          </w:tcPr>
          <w:p>
            <w:pPr>
              <w:spacing w:after="0"/>
            </w:pPr>
            <w:r/>
            <w:r>
              <w:rPr>
                <w:rFonts w:ascii="Aptos" w:hAnsi="Aptos"/>
                <w:b w:val="0"/>
                <w:color w:val="25364A"/>
                <w:sz w:val="16"/>
              </w:rPr>
              <w:t>148,903</w:t>
            </w:r>
          </w:p>
        </w:tc>
        <w:tc>
          <w:tcPr>
            <w:tcW w:type="dxa" w:w="2541"/>
            <w:vAlign w:val="center"/>
          </w:tcPr>
          <w:p>
            <w:pPr>
              <w:spacing w:after="0"/>
            </w:pPr>
            <w:r/>
            <w:r>
              <w:rPr>
                <w:rFonts w:ascii="Aptos" w:hAnsi="Aptos"/>
                <w:b w:val="0"/>
                <w:color w:val="25364A"/>
                <w:sz w:val="16"/>
              </w:rPr>
              <w:t>155,967</w:t>
            </w:r>
          </w:p>
        </w:tc>
        <w:tc>
          <w:tcPr>
            <w:tcW w:type="dxa" w:w="2541"/>
            <w:vAlign w:val="center"/>
          </w:tcPr>
          <w:p>
            <w:pPr>
              <w:spacing w:after="0"/>
            </w:pPr>
            <w:r/>
            <w:r>
              <w:rPr>
                <w:rFonts w:ascii="Aptos" w:hAnsi="Aptos"/>
                <w:b w:val="0"/>
                <w:color w:val="25364A"/>
                <w:sz w:val="16"/>
              </w:rPr>
              <w:t>+4.7%</w:t>
            </w:r>
          </w:p>
        </w:tc>
      </w:tr>
      <w:tr>
        <w:tc>
          <w:tcPr>
            <w:tcW w:type="dxa" w:w="2541"/>
            <w:vAlign w:val="center"/>
            <w:shd w:fill="F0F5FA"/>
          </w:tcPr>
          <w:p>
            <w:pPr>
              <w:spacing w:after="0"/>
            </w:pPr>
            <w:r/>
            <w:r>
              <w:rPr>
                <w:rFonts w:ascii="Aptos" w:hAnsi="Aptos"/>
                <w:b w:val="0"/>
                <w:color w:val="25364A"/>
                <w:sz w:val="16"/>
              </w:rPr>
              <w:t>Current assets</w:t>
            </w:r>
          </w:p>
        </w:tc>
        <w:tc>
          <w:tcPr>
            <w:tcW w:type="dxa" w:w="2541"/>
            <w:vAlign w:val="center"/>
            <w:shd w:fill="F0F5FA"/>
          </w:tcPr>
          <w:p>
            <w:pPr>
              <w:spacing w:after="0"/>
            </w:pPr>
            <w:r/>
            <w:r>
              <w:rPr>
                <w:rFonts w:ascii="Aptos" w:hAnsi="Aptos"/>
                <w:b w:val="0"/>
                <w:color w:val="25364A"/>
                <w:sz w:val="16"/>
              </w:rPr>
              <w:t>97,099</w:t>
            </w:r>
          </w:p>
        </w:tc>
        <w:tc>
          <w:tcPr>
            <w:tcW w:type="dxa" w:w="2541"/>
            <w:vAlign w:val="center"/>
            <w:shd w:fill="F0F5FA"/>
          </w:tcPr>
          <w:p>
            <w:pPr>
              <w:spacing w:after="0"/>
            </w:pPr>
            <w:r/>
            <w:r>
              <w:rPr>
                <w:rFonts w:ascii="Aptos" w:hAnsi="Aptos"/>
                <w:b w:val="0"/>
                <w:color w:val="25364A"/>
                <w:sz w:val="16"/>
              </w:rPr>
              <w:t>103,489</w:t>
            </w:r>
          </w:p>
        </w:tc>
        <w:tc>
          <w:tcPr>
            <w:tcW w:type="dxa" w:w="2541"/>
            <w:vAlign w:val="center"/>
            <w:shd w:fill="F0F5FA"/>
          </w:tcPr>
          <w:p>
            <w:pPr>
              <w:spacing w:after="0"/>
            </w:pPr>
            <w:r/>
            <w:r>
              <w:rPr>
                <w:rFonts w:ascii="Aptos" w:hAnsi="Aptos"/>
                <w:b w:val="0"/>
                <w:color w:val="25364A"/>
                <w:sz w:val="16"/>
              </w:rPr>
              <w:t>+6.6%</w:t>
            </w:r>
          </w:p>
        </w:tc>
      </w:tr>
      <w:tr>
        <w:tc>
          <w:tcPr>
            <w:tcW w:type="dxa" w:w="2541"/>
            <w:vAlign w:val="center"/>
          </w:tcPr>
          <w:p>
            <w:pPr>
              <w:spacing w:after="0"/>
            </w:pPr>
            <w:r/>
            <w:r>
              <w:rPr>
                <w:rFonts w:ascii="Aptos" w:hAnsi="Aptos"/>
                <w:b w:val="0"/>
                <w:color w:val="25364A"/>
                <w:sz w:val="16"/>
              </w:rPr>
              <w:t>Total equity</w:t>
            </w:r>
          </w:p>
        </w:tc>
        <w:tc>
          <w:tcPr>
            <w:tcW w:type="dxa" w:w="2541"/>
            <w:vAlign w:val="center"/>
          </w:tcPr>
          <w:p>
            <w:pPr>
              <w:spacing w:after="0"/>
            </w:pPr>
            <w:r/>
            <w:r>
              <w:rPr>
                <w:rFonts w:ascii="Aptos" w:hAnsi="Aptos"/>
                <w:b w:val="0"/>
                <w:color w:val="25364A"/>
                <w:sz w:val="16"/>
              </w:rPr>
              <w:t>96,203</w:t>
            </w:r>
          </w:p>
        </w:tc>
        <w:tc>
          <w:tcPr>
            <w:tcW w:type="dxa" w:w="2541"/>
            <w:vAlign w:val="center"/>
          </w:tcPr>
          <w:p>
            <w:pPr>
              <w:spacing w:after="0"/>
            </w:pPr>
            <w:r/>
            <w:r>
              <w:rPr>
                <w:rFonts w:ascii="Aptos" w:hAnsi="Aptos"/>
                <w:b w:val="0"/>
                <w:color w:val="25364A"/>
                <w:sz w:val="16"/>
              </w:rPr>
              <w:t>93,297</w:t>
            </w:r>
          </w:p>
        </w:tc>
        <w:tc>
          <w:tcPr>
            <w:tcW w:type="dxa" w:w="2541"/>
            <w:vAlign w:val="center"/>
          </w:tcPr>
          <w:p>
            <w:pPr>
              <w:spacing w:after="0"/>
            </w:pPr>
            <w:r/>
            <w:r>
              <w:rPr>
                <w:rFonts w:ascii="Aptos" w:hAnsi="Aptos"/>
                <w:b w:val="0"/>
                <w:color w:val="25364A"/>
                <w:sz w:val="16"/>
              </w:rPr>
              <w:t>-3.0%</w:t>
            </w:r>
          </w:p>
        </w:tc>
      </w:tr>
      <w:tr>
        <w:tc>
          <w:tcPr>
            <w:tcW w:type="dxa" w:w="2541"/>
            <w:vAlign w:val="center"/>
            <w:shd w:fill="F0F5FA"/>
          </w:tcPr>
          <w:p>
            <w:pPr>
              <w:spacing w:after="0"/>
            </w:pPr>
            <w:r/>
            <w:r>
              <w:rPr>
                <w:rFonts w:ascii="Aptos" w:hAnsi="Aptos"/>
                <w:b w:val="0"/>
                <w:color w:val="25364A"/>
                <w:sz w:val="16"/>
              </w:rPr>
              <w:t>Current liabilities</w:t>
            </w:r>
          </w:p>
        </w:tc>
        <w:tc>
          <w:tcPr>
            <w:tcW w:type="dxa" w:w="2541"/>
            <w:vAlign w:val="center"/>
            <w:shd w:fill="F0F5FA"/>
          </w:tcPr>
          <w:p>
            <w:pPr>
              <w:spacing w:after="0"/>
            </w:pPr>
            <w:r/>
            <w:r>
              <w:rPr>
                <w:rFonts w:ascii="Aptos" w:hAnsi="Aptos"/>
                <w:b w:val="0"/>
                <w:color w:val="25364A"/>
                <w:sz w:val="16"/>
              </w:rPr>
              <w:t>42,850</w:t>
            </w:r>
          </w:p>
        </w:tc>
        <w:tc>
          <w:tcPr>
            <w:tcW w:type="dxa" w:w="2541"/>
            <w:vAlign w:val="center"/>
            <w:shd w:fill="F0F5FA"/>
          </w:tcPr>
          <w:p>
            <w:pPr>
              <w:spacing w:after="0"/>
            </w:pPr>
            <w:r/>
            <w:r>
              <w:rPr>
                <w:rFonts w:ascii="Aptos" w:hAnsi="Aptos"/>
                <w:b w:val="0"/>
                <w:color w:val="25364A"/>
                <w:sz w:val="16"/>
              </w:rPr>
              <w:t>52,322</w:t>
            </w:r>
          </w:p>
        </w:tc>
        <w:tc>
          <w:tcPr>
            <w:tcW w:type="dxa" w:w="2541"/>
            <w:vAlign w:val="center"/>
            <w:shd w:fill="F0F5FA"/>
          </w:tcPr>
          <w:p>
            <w:pPr>
              <w:spacing w:after="0"/>
            </w:pPr>
            <w:r/>
            <w:r>
              <w:rPr>
                <w:rFonts w:ascii="Aptos" w:hAnsi="Aptos"/>
                <w:b w:val="0"/>
                <w:color w:val="25364A"/>
                <w:sz w:val="16"/>
              </w:rPr>
              <w:t>+22.1%</w:t>
            </w:r>
          </w:p>
        </w:tc>
      </w:tr>
      <w:tr>
        <w:tc>
          <w:tcPr>
            <w:tcW w:type="dxa" w:w="2541"/>
            <w:vAlign w:val="center"/>
          </w:tcPr>
          <w:p>
            <w:pPr>
              <w:spacing w:after="0"/>
            </w:pPr>
            <w:r/>
            <w:r>
              <w:rPr>
                <w:rFonts w:ascii="Aptos" w:hAnsi="Aptos"/>
                <w:b w:val="0"/>
                <w:color w:val="25364A"/>
                <w:sz w:val="16"/>
              </w:rPr>
              <w:t>Cash and cash equivalents</w:t>
            </w:r>
          </w:p>
        </w:tc>
        <w:tc>
          <w:tcPr>
            <w:tcW w:type="dxa" w:w="2541"/>
            <w:vAlign w:val="center"/>
          </w:tcPr>
          <w:p>
            <w:pPr>
              <w:spacing w:after="0"/>
            </w:pPr>
            <w:r/>
            <w:r>
              <w:rPr>
                <w:rFonts w:ascii="Aptos" w:hAnsi="Aptos"/>
                <w:b w:val="0"/>
                <w:color w:val="25364A"/>
                <w:sz w:val="16"/>
              </w:rPr>
              <w:t>24,455</w:t>
            </w:r>
          </w:p>
        </w:tc>
        <w:tc>
          <w:tcPr>
            <w:tcW w:type="dxa" w:w="2541"/>
            <w:vAlign w:val="center"/>
          </w:tcPr>
          <w:p>
            <w:pPr>
              <w:spacing w:after="0"/>
            </w:pPr>
            <w:r/>
            <w:r>
              <w:rPr>
                <w:rFonts w:ascii="Aptos" w:hAnsi="Aptos"/>
                <w:b w:val="0"/>
                <w:color w:val="25364A"/>
                <w:sz w:val="16"/>
              </w:rPr>
              <w:t>22,201</w:t>
            </w:r>
          </w:p>
        </w:tc>
        <w:tc>
          <w:tcPr>
            <w:tcW w:type="dxa" w:w="2541"/>
            <w:vAlign w:val="center"/>
          </w:tcPr>
          <w:p>
            <w:pPr>
              <w:spacing w:after="0"/>
            </w:pPr>
            <w:r/>
            <w:r>
              <w:rPr>
                <w:rFonts w:ascii="Aptos" w:hAnsi="Aptos"/>
                <w:b w:val="0"/>
                <w:color w:val="25364A"/>
                <w:sz w:val="16"/>
              </w:rPr>
              <w:t>-9.2%</w:t>
            </w:r>
          </w:p>
        </w:tc>
      </w:tr>
      <w:tr>
        <w:tc>
          <w:tcPr>
            <w:tcW w:type="dxa" w:w="2541"/>
            <w:vAlign w:val="center"/>
            <w:shd w:fill="F0F5FA"/>
          </w:tcPr>
          <w:p>
            <w:pPr>
              <w:spacing w:after="0"/>
            </w:pPr>
            <w:r/>
            <w:r>
              <w:rPr>
                <w:rFonts w:ascii="Aptos" w:hAnsi="Aptos"/>
                <w:b w:val="0"/>
                <w:color w:val="25364A"/>
                <w:sz w:val="16"/>
              </w:rPr>
              <w:t>Trade receivables</w:t>
            </w:r>
          </w:p>
        </w:tc>
        <w:tc>
          <w:tcPr>
            <w:tcW w:type="dxa" w:w="2541"/>
            <w:vAlign w:val="center"/>
            <w:shd w:fill="F0F5FA"/>
          </w:tcPr>
          <w:p>
            <w:pPr>
              <w:spacing w:after="0"/>
            </w:pPr>
            <w:r/>
            <w:r>
              <w:rPr>
                <w:rFonts w:ascii="Aptos" w:hAnsi="Aptos"/>
                <w:b w:val="0"/>
                <w:color w:val="25364A"/>
                <w:sz w:val="16"/>
              </w:rPr>
              <w:t>31,158</w:t>
            </w:r>
          </w:p>
        </w:tc>
        <w:tc>
          <w:tcPr>
            <w:tcW w:type="dxa" w:w="2541"/>
            <w:vAlign w:val="center"/>
            <w:shd w:fill="F0F5FA"/>
          </w:tcPr>
          <w:p>
            <w:pPr>
              <w:spacing w:after="0"/>
            </w:pPr>
            <w:r/>
            <w:r>
              <w:rPr>
                <w:rFonts w:ascii="Aptos" w:hAnsi="Aptos"/>
                <w:b w:val="0"/>
                <w:color w:val="25364A"/>
                <w:sz w:val="16"/>
              </w:rPr>
              <w:t>35,234</w:t>
            </w:r>
          </w:p>
        </w:tc>
        <w:tc>
          <w:tcPr>
            <w:tcW w:type="dxa" w:w="2541"/>
            <w:vAlign w:val="center"/>
            <w:shd w:fill="F0F5FA"/>
          </w:tcPr>
          <w:p>
            <w:pPr>
              <w:spacing w:after="0"/>
            </w:pPr>
            <w:r/>
            <w:r>
              <w:rPr>
                <w:rFonts w:ascii="Aptos" w:hAnsi="Aptos"/>
                <w:b w:val="0"/>
                <w:color w:val="25364A"/>
                <w:sz w:val="16"/>
              </w:rPr>
              <w:t>+13.1%</w:t>
            </w:r>
          </w:p>
        </w:tc>
      </w:tr>
    </w:tbl>
    <w:p>
      <w:pPr>
        <w:spacing w:after="0"/>
      </w:pPr>
    </w:p>
    <w:p>
      <w:r>
        <w:t>Current ratio moved from 2.27x to 1.98x, remaining above 1.0x but declining as current liabilities grew. Trade receivables rose 13.1%, faster than revenue. Recommended follow-up: calculate receivables ageing and DSO, check collection trends and inspect unbilled revenue.</w:t>
      </w:r>
    </w:p>
    <w:p>
      <w:pPr>
        <w:pStyle w:val="Heading1"/>
      </w:pPr>
      <w:r>
        <w:t>3. Cash Flow analysis</w:t>
      </w:r>
    </w:p>
    <w:tbl>
      <w:tblPr>
        <w:tblStyle w:val="LightShading-Accent1"/>
        <w:tblW w:type="auto" w:w="0"/>
        <w:jc w:val="center"/>
        <w:tblLook w:firstColumn="1" w:firstRow="1" w:lastColumn="0" w:lastRow="0" w:noHBand="0" w:noVBand="1" w:val="04A0"/>
      </w:tblPr>
      <w:tblGrid>
        <w:gridCol w:w="2541"/>
        <w:gridCol w:w="2541"/>
        <w:gridCol w:w="2541"/>
        <w:gridCol w:w="2541"/>
      </w:tblGrid>
      <w:tr>
        <w:tc>
          <w:tcPr>
            <w:tcW w:type="dxa" w:w="2541"/>
            <w:vAlign w:val="center"/>
            <w:shd w:fill="172B4D"/>
          </w:tcPr>
          <w:p>
            <w:pPr>
              <w:spacing w:after="0"/>
            </w:pPr>
            <w:r/>
            <w:r>
              <w:rPr>
                <w:rFonts w:ascii="Aptos" w:hAnsi="Aptos"/>
                <w:b/>
                <w:color w:val="FFFFFF"/>
                <w:sz w:val="16"/>
              </w:rPr>
              <w:t>Metric</w:t>
            </w:r>
          </w:p>
        </w:tc>
        <w:tc>
          <w:tcPr>
            <w:tcW w:type="dxa" w:w="2541"/>
            <w:vAlign w:val="center"/>
            <w:shd w:fill="172B4D"/>
          </w:tcPr>
          <w:p>
            <w:pPr>
              <w:spacing w:after="0"/>
            </w:pPr>
            <w:r/>
            <w:r>
              <w:rPr>
                <w:rFonts w:ascii="Aptos" w:hAnsi="Aptos"/>
                <w:b/>
                <w:color w:val="FFFFFF"/>
                <w:sz w:val="16"/>
              </w:rPr>
              <w:t>FY2024-25</w:t>
            </w:r>
          </w:p>
        </w:tc>
        <w:tc>
          <w:tcPr>
            <w:tcW w:type="dxa" w:w="2541"/>
            <w:vAlign w:val="center"/>
            <w:shd w:fill="172B4D"/>
          </w:tcPr>
          <w:p>
            <w:pPr>
              <w:spacing w:after="0"/>
            </w:pPr>
            <w:r/>
            <w:r>
              <w:rPr>
                <w:rFonts w:ascii="Aptos" w:hAnsi="Aptos"/>
                <w:b/>
                <w:color w:val="FFFFFF"/>
                <w:sz w:val="16"/>
              </w:rPr>
              <w:t>FY2025-26</w:t>
            </w:r>
          </w:p>
        </w:tc>
        <w:tc>
          <w:tcPr>
            <w:tcW w:type="dxa" w:w="2541"/>
            <w:vAlign w:val="center"/>
            <w:shd w:fill="172B4D"/>
          </w:tcPr>
          <w:p>
            <w:pPr>
              <w:spacing w:after="0"/>
            </w:pPr>
            <w:r/>
            <w:r>
              <w:rPr>
                <w:rFonts w:ascii="Aptos" w:hAnsi="Aptos"/>
                <w:b/>
                <w:color w:val="FFFFFF"/>
                <w:sz w:val="16"/>
              </w:rPr>
              <w:t>Change</w:t>
            </w:r>
          </w:p>
        </w:tc>
      </w:tr>
      <w:tr>
        <w:tc>
          <w:tcPr>
            <w:tcW w:type="dxa" w:w="2541"/>
            <w:vAlign w:val="center"/>
          </w:tcPr>
          <w:p>
            <w:pPr>
              <w:spacing w:after="0"/>
            </w:pPr>
            <w:r/>
            <w:r>
              <w:rPr>
                <w:rFonts w:ascii="Aptos" w:hAnsi="Aptos"/>
                <w:b w:val="0"/>
                <w:color w:val="25364A"/>
                <w:sz w:val="16"/>
              </w:rPr>
              <w:t>Net cash generated by operating activities</w:t>
            </w:r>
          </w:p>
        </w:tc>
        <w:tc>
          <w:tcPr>
            <w:tcW w:type="dxa" w:w="2541"/>
            <w:vAlign w:val="center"/>
          </w:tcPr>
          <w:p>
            <w:pPr>
              <w:spacing w:after="0"/>
            </w:pPr>
            <w:r/>
            <w:r>
              <w:rPr>
                <w:rFonts w:ascii="Aptos" w:hAnsi="Aptos"/>
                <w:b w:val="0"/>
                <w:color w:val="25364A"/>
                <w:sz w:val="16"/>
              </w:rPr>
              <w:t>35,694</w:t>
            </w:r>
          </w:p>
        </w:tc>
        <w:tc>
          <w:tcPr>
            <w:tcW w:type="dxa" w:w="2541"/>
            <w:vAlign w:val="center"/>
          </w:tcPr>
          <w:p>
            <w:pPr>
              <w:spacing w:after="0"/>
            </w:pPr>
            <w:r/>
            <w:r>
              <w:rPr>
                <w:rFonts w:ascii="Aptos" w:hAnsi="Aptos"/>
                <w:b w:val="0"/>
                <w:color w:val="25364A"/>
                <w:sz w:val="16"/>
              </w:rPr>
              <w:t>33,986</w:t>
            </w:r>
          </w:p>
        </w:tc>
        <w:tc>
          <w:tcPr>
            <w:tcW w:type="dxa" w:w="2541"/>
            <w:vAlign w:val="center"/>
          </w:tcPr>
          <w:p>
            <w:pPr>
              <w:spacing w:after="0"/>
            </w:pPr>
            <w:r/>
            <w:r>
              <w:rPr>
                <w:rFonts w:ascii="Aptos" w:hAnsi="Aptos"/>
                <w:b w:val="0"/>
                <w:color w:val="25364A"/>
                <w:sz w:val="16"/>
              </w:rPr>
              <w:t>-4.8%</w:t>
            </w:r>
          </w:p>
        </w:tc>
      </w:tr>
      <w:tr>
        <w:tc>
          <w:tcPr>
            <w:tcW w:type="dxa" w:w="2541"/>
            <w:vAlign w:val="center"/>
            <w:shd w:fill="F0F5FA"/>
          </w:tcPr>
          <w:p>
            <w:pPr>
              <w:spacing w:after="0"/>
            </w:pPr>
            <w:r/>
            <w:r>
              <w:rPr>
                <w:rFonts w:ascii="Aptos" w:hAnsi="Aptos"/>
                <w:b w:val="0"/>
                <w:color w:val="25364A"/>
                <w:sz w:val="16"/>
              </w:rPr>
              <w:t>Capital expenditure (outflow magnitude)</w:t>
            </w:r>
          </w:p>
        </w:tc>
        <w:tc>
          <w:tcPr>
            <w:tcW w:type="dxa" w:w="2541"/>
            <w:vAlign w:val="center"/>
            <w:shd w:fill="F0F5FA"/>
          </w:tcPr>
          <w:p>
            <w:pPr>
              <w:spacing w:after="0"/>
            </w:pPr>
            <w:r/>
            <w:r>
              <w:rPr>
                <w:rFonts w:ascii="Aptos" w:hAnsi="Aptos"/>
                <w:b w:val="0"/>
                <w:color w:val="25364A"/>
                <w:sz w:val="16"/>
              </w:rPr>
              <w:t>2,237</w:t>
            </w:r>
          </w:p>
        </w:tc>
        <w:tc>
          <w:tcPr>
            <w:tcW w:type="dxa" w:w="2541"/>
            <w:vAlign w:val="center"/>
            <w:shd w:fill="F0F5FA"/>
          </w:tcPr>
          <w:p>
            <w:pPr>
              <w:spacing w:after="0"/>
            </w:pPr>
            <w:r/>
            <w:r>
              <w:rPr>
                <w:rFonts w:ascii="Aptos" w:hAnsi="Aptos"/>
                <w:b w:val="0"/>
                <w:color w:val="25364A"/>
                <w:sz w:val="16"/>
              </w:rPr>
              <w:t>2,727</w:t>
            </w:r>
          </w:p>
        </w:tc>
        <w:tc>
          <w:tcPr>
            <w:tcW w:type="dxa" w:w="2541"/>
            <w:vAlign w:val="center"/>
            <w:shd w:fill="F0F5FA"/>
          </w:tcPr>
          <w:p>
            <w:pPr>
              <w:spacing w:after="0"/>
            </w:pPr>
            <w:r/>
            <w:r>
              <w:rPr>
                <w:rFonts w:ascii="Aptos" w:hAnsi="Aptos"/>
                <w:b w:val="0"/>
                <w:color w:val="25364A"/>
                <w:sz w:val="16"/>
              </w:rPr>
              <w:t>+21.9%</w:t>
            </w:r>
          </w:p>
        </w:tc>
      </w:tr>
      <w:tr>
        <w:tc>
          <w:tcPr>
            <w:tcW w:type="dxa" w:w="2541"/>
            <w:vAlign w:val="center"/>
          </w:tcPr>
          <w:p>
            <w:pPr>
              <w:spacing w:after="0"/>
            </w:pPr>
            <w:r/>
            <w:r>
              <w:rPr>
                <w:rFonts w:ascii="Aptos" w:hAnsi="Aptos"/>
                <w:b w:val="0"/>
                <w:color w:val="25364A"/>
                <w:sz w:val="16"/>
              </w:rPr>
              <w:t>Simple FCF (CFO minus capex)</w:t>
            </w:r>
          </w:p>
        </w:tc>
        <w:tc>
          <w:tcPr>
            <w:tcW w:type="dxa" w:w="2541"/>
            <w:vAlign w:val="center"/>
          </w:tcPr>
          <w:p>
            <w:pPr>
              <w:spacing w:after="0"/>
            </w:pPr>
            <w:r/>
            <w:r>
              <w:rPr>
                <w:rFonts w:ascii="Aptos" w:hAnsi="Aptos"/>
                <w:b w:val="0"/>
                <w:color w:val="25364A"/>
                <w:sz w:val="16"/>
              </w:rPr>
              <w:t>33,457</w:t>
            </w:r>
          </w:p>
        </w:tc>
        <w:tc>
          <w:tcPr>
            <w:tcW w:type="dxa" w:w="2541"/>
            <w:vAlign w:val="center"/>
          </w:tcPr>
          <w:p>
            <w:pPr>
              <w:spacing w:after="0"/>
            </w:pPr>
            <w:r/>
            <w:r>
              <w:rPr>
                <w:rFonts w:ascii="Aptos" w:hAnsi="Aptos"/>
                <w:b w:val="0"/>
                <w:color w:val="25364A"/>
                <w:sz w:val="16"/>
              </w:rPr>
              <w:t>31,259</w:t>
            </w:r>
          </w:p>
        </w:tc>
        <w:tc>
          <w:tcPr>
            <w:tcW w:type="dxa" w:w="2541"/>
            <w:vAlign w:val="center"/>
          </w:tcPr>
          <w:p>
            <w:pPr>
              <w:spacing w:after="0"/>
            </w:pPr>
            <w:r/>
            <w:r>
              <w:rPr>
                <w:rFonts w:ascii="Aptos" w:hAnsi="Aptos"/>
                <w:b w:val="0"/>
                <w:color w:val="25364A"/>
                <w:sz w:val="16"/>
              </w:rPr>
              <w:t>-6.6%</w:t>
            </w:r>
          </w:p>
        </w:tc>
      </w:tr>
      <w:tr>
        <w:tc>
          <w:tcPr>
            <w:tcW w:type="dxa" w:w="2541"/>
            <w:vAlign w:val="center"/>
            <w:shd w:fill="F0F5FA"/>
          </w:tcPr>
          <w:p>
            <w:pPr>
              <w:spacing w:after="0"/>
            </w:pPr>
            <w:r/>
            <w:r>
              <w:rPr>
                <w:rFonts w:ascii="Aptos" w:hAnsi="Aptos"/>
                <w:b w:val="0"/>
                <w:color w:val="25364A"/>
                <w:sz w:val="16"/>
              </w:rPr>
              <w:t>Net cash from investing activities</w:t>
            </w:r>
          </w:p>
        </w:tc>
        <w:tc>
          <w:tcPr>
            <w:tcW w:type="dxa" w:w="2541"/>
            <w:vAlign w:val="center"/>
            <w:shd w:fill="F0F5FA"/>
          </w:tcPr>
          <w:p>
            <w:pPr>
              <w:spacing w:after="0"/>
            </w:pPr>
            <w:r/>
            <w:r>
              <w:rPr>
                <w:rFonts w:ascii="Aptos" w:hAnsi="Aptos"/>
                <w:b w:val="0"/>
                <w:color w:val="25364A"/>
                <w:sz w:val="16"/>
              </w:rPr>
              <w:t>(1,946)</w:t>
            </w:r>
          </w:p>
        </w:tc>
        <w:tc>
          <w:tcPr>
            <w:tcW w:type="dxa" w:w="2541"/>
            <w:vAlign w:val="center"/>
            <w:shd w:fill="F0F5FA"/>
          </w:tcPr>
          <w:p>
            <w:pPr>
              <w:spacing w:after="0"/>
            </w:pPr>
            <w:r/>
            <w:r>
              <w:rPr>
                <w:rFonts w:ascii="Aptos" w:hAnsi="Aptos"/>
                <w:b w:val="0"/>
                <w:color w:val="25364A"/>
                <w:sz w:val="16"/>
              </w:rPr>
              <w:t>1,946</w:t>
            </w:r>
          </w:p>
        </w:tc>
        <w:tc>
          <w:tcPr>
            <w:tcW w:type="dxa" w:w="2541"/>
            <w:vAlign w:val="center"/>
            <w:shd w:fill="F0F5FA"/>
          </w:tcPr>
          <w:p>
            <w:pPr>
              <w:spacing w:after="0"/>
            </w:pPr>
            <w:r/>
            <w:r>
              <w:rPr>
                <w:rFonts w:ascii="Aptos" w:hAnsi="Aptos"/>
                <w:b w:val="0"/>
                <w:color w:val="25364A"/>
                <w:sz w:val="16"/>
              </w:rPr>
              <w:t>Direction changed</w:t>
            </w:r>
          </w:p>
        </w:tc>
      </w:tr>
      <w:tr>
        <w:tc>
          <w:tcPr>
            <w:tcW w:type="dxa" w:w="2541"/>
            <w:vAlign w:val="center"/>
          </w:tcPr>
          <w:p>
            <w:pPr>
              <w:spacing w:after="0"/>
            </w:pPr>
            <w:r/>
            <w:r>
              <w:rPr>
                <w:rFonts w:ascii="Aptos" w:hAnsi="Aptos"/>
                <w:b w:val="0"/>
                <w:color w:val="25364A"/>
                <w:sz w:val="16"/>
              </w:rPr>
              <w:t>Net cash used in financing activities</w:t>
            </w:r>
          </w:p>
        </w:tc>
        <w:tc>
          <w:tcPr>
            <w:tcW w:type="dxa" w:w="2541"/>
            <w:vAlign w:val="center"/>
          </w:tcPr>
          <w:p>
            <w:pPr>
              <w:spacing w:after="0"/>
            </w:pPr>
            <w:r/>
            <w:r>
              <w:rPr>
                <w:rFonts w:ascii="Aptos" w:hAnsi="Aptos"/>
                <w:b w:val="0"/>
                <w:color w:val="25364A"/>
                <w:sz w:val="16"/>
              </w:rPr>
              <w:t>(24,161)</w:t>
            </w:r>
          </w:p>
        </w:tc>
        <w:tc>
          <w:tcPr>
            <w:tcW w:type="dxa" w:w="2541"/>
            <w:vAlign w:val="center"/>
          </w:tcPr>
          <w:p>
            <w:pPr>
              <w:spacing w:after="0"/>
            </w:pPr>
            <w:r/>
            <w:r>
              <w:rPr>
                <w:rFonts w:ascii="Aptos" w:hAnsi="Aptos"/>
                <w:b w:val="0"/>
                <w:color w:val="25364A"/>
                <w:sz w:val="16"/>
              </w:rPr>
              <w:t>(39,786)</w:t>
            </w:r>
          </w:p>
        </w:tc>
        <w:tc>
          <w:tcPr>
            <w:tcW w:type="dxa" w:w="2541"/>
            <w:vAlign w:val="center"/>
          </w:tcPr>
          <w:p>
            <w:pPr>
              <w:spacing w:after="0"/>
            </w:pPr>
            <w:r/>
            <w:r>
              <w:rPr>
                <w:rFonts w:ascii="Aptos" w:hAnsi="Aptos"/>
                <w:b w:val="0"/>
                <w:color w:val="25364A"/>
                <w:sz w:val="16"/>
              </w:rPr>
              <w:t>Larger outflow</w:t>
            </w:r>
          </w:p>
        </w:tc>
      </w:tr>
      <w:tr>
        <w:tc>
          <w:tcPr>
            <w:tcW w:type="dxa" w:w="2541"/>
            <w:vAlign w:val="center"/>
            <w:shd w:fill="F0F5FA"/>
          </w:tcPr>
          <w:p>
            <w:pPr>
              <w:spacing w:after="0"/>
            </w:pPr>
            <w:r>
              <w:t>Closing cash</w:t>
            </w:r>
            <w:r>
              <w:rPr>
                <w:rFonts w:ascii="Aptos" w:hAnsi="Aptos"/>
                <w:b w:val="0"/>
                <w:color w:val="25364A"/>
                <w:sz w:val="16"/>
              </w:rPr>
            </w:r>
          </w:p>
        </w:tc>
        <w:tc>
          <w:tcPr>
            <w:tcW w:type="dxa" w:w="2541"/>
            <w:vAlign w:val="center"/>
            <w:shd w:fill="F0F5FA"/>
          </w:tcPr>
          <w:p>
            <w:pPr>
              <w:spacing w:after="0"/>
            </w:pPr>
            <w:r/>
            <w:r>
              <w:rPr>
                <w:rFonts w:ascii="Aptos" w:hAnsi="Aptos"/>
                <w:b w:val="0"/>
                <w:color w:val="25364A"/>
                <w:sz w:val="16"/>
              </w:rPr>
              <w:t>24,455</w:t>
            </w:r>
          </w:p>
        </w:tc>
        <w:tc>
          <w:tcPr>
            <w:tcW w:type="dxa" w:w="2541"/>
            <w:vAlign w:val="center"/>
            <w:shd w:fill="F0F5FA"/>
          </w:tcPr>
          <w:p>
            <w:pPr>
              <w:spacing w:after="0"/>
            </w:pPr>
            <w:r/>
            <w:r>
              <w:rPr>
                <w:rFonts w:ascii="Aptos" w:hAnsi="Aptos"/>
                <w:b w:val="0"/>
                <w:color w:val="25364A"/>
                <w:sz w:val="16"/>
              </w:rPr>
              <w:t>22,201</w:t>
            </w:r>
          </w:p>
        </w:tc>
        <w:tc>
          <w:tcPr>
            <w:tcW w:type="dxa" w:w="2541"/>
            <w:vAlign w:val="center"/>
            <w:shd w:fill="F0F5FA"/>
          </w:tcPr>
          <w:p>
            <w:pPr>
              <w:spacing w:after="0"/>
            </w:pPr>
            <w:r/>
            <w:r>
              <w:rPr>
                <w:rFonts w:ascii="Aptos" w:hAnsi="Aptos"/>
                <w:b w:val="0"/>
                <w:color w:val="25364A"/>
                <w:sz w:val="16"/>
              </w:rPr>
              <w:t>-9.2%</w:t>
            </w:r>
          </w:p>
        </w:tc>
      </w:tr>
    </w:tbl>
    <w:p>
      <w:pPr>
        <w:spacing w:after="0"/>
      </w:pPr>
    </w:p>
    <w:p>
      <w:r>
        <w:t>Operating cash flow declined even though profit increased. The annual cash flow statement reports a larger cash outflow from movements in trade receivables and unbilled revenue. Financing cash outflow increased and included dividends and a share buyback. Simple FCF is calculated consistently as this Ind AS statement’s operating cash flow less capex; the company separately publishes a headline FCF metric under its integrated-report definition, so the two should not be mixed without reconciliation.</w:t>
      </w:r>
    </w:p>
    <w:p>
      <w:pPr>
        <w:pStyle w:val="Heading1"/>
      </w:pPr>
      <w:r>
        <w:t>4. Findings and limitations</w:t>
      </w:r>
    </w:p>
    <w:p>
      <w:pPr>
        <w:pStyle w:val="ListBullet"/>
        <w:spacing w:after="20"/>
      </w:pPr>
      <w:r>
        <w:t>Revenue +9.6%; profit for the year +10.2%; EPS +11.0%.</w:t>
      </w:r>
    </w:p>
    <w:p>
      <w:pPr>
        <w:pStyle w:val="ListBullet"/>
        <w:spacing w:after="20"/>
      </w:pPr>
      <w:r>
        <w:t>Current ratio moved from 2.27x to 1.98x; investigate working capital and liquidity composition.</w:t>
      </w:r>
    </w:p>
    <w:p>
      <w:pPr>
        <w:pStyle w:val="ListBullet"/>
        <w:spacing w:after="20"/>
      </w:pPr>
      <w:r>
        <w:t>Receivables grew 13.1% while operating cash flow fell 4.8%; test cash conversion and collections.</w:t>
      </w:r>
    </w:p>
    <w:p>
      <w:pPr>
        <w:pStyle w:val="ListBullet"/>
        <w:spacing w:after="20"/>
      </w:pPr>
      <w:r>
        <w:t>Only two annual periods are compared. Business mix, FX, acquisitions, one-offs, accounting basis and seasonality limit causal claims.</w:t>
      </w:r>
    </w:p>
    <w:p>
      <w:pPr>
        <w:pStyle w:val="Heading1"/>
      </w:pPr>
      <w:r>
        <w:t>Primary sources</w:t>
      </w:r>
    </w:p>
    <w:p>
      <w:pPr>
        <w:spacing w:after="20"/>
      </w:pPr>
      <w:r>
        <w:rPr>
          <w:color w:val="245C9F"/>
          <w:sz w:val="16"/>
        </w:rPr>
        <w:t>https://www.infosys.com/investors/reports-filings/quarterly-results/2025-2026/q4/ind-as.html</w:t>
      </w:r>
    </w:p>
    <w:p>
      <w:pPr>
        <w:spacing w:after="20"/>
      </w:pPr>
      <w:r>
        <w:rPr>
          <w:color w:val="245C9F"/>
          <w:sz w:val="16"/>
        </w:rPr>
        <w:t>https://www.infosys.com/about/last-fiscal.html</w:t>
      </w:r>
    </w:p>
    <w:p>
      <w:pPr>
        <w:spacing w:after="20"/>
      </w:pPr>
      <w:r>
        <w:rPr>
          <w:color w:val="245C9F"/>
          <w:sz w:val="16"/>
        </w:rPr>
        <w:t>https://www.infosys.com/investors/reports-filings/annual-report/annual-reports/ar-2025-26.html</w:t>
      </w:r>
    </w:p>
    <w:p>
      <w:pPr>
        <w:spacing w:after="20"/>
      </w:pPr>
      <w:r>
        <w:rPr>
          <w:color w:val="245C9F"/>
          <w:sz w:val="16"/>
        </w:rPr>
        <w:t>https://www.infosys.com/investors/reports-filings/annual-report/annual/documents/2025-26/consolidated.pdf</w:t>
      </w:r>
    </w:p>
    <w:p>
      <w:pPr>
        <w:pStyle w:val="Heading1"/>
      </w:pPr>
      <w:r>
        <w:t>Latest quarterly context as of 22 October 2026</w:t>
      </w:r>
    </w:p>
    <w:p>
      <w:r>
        <w:t>The latest reported quarter available at the research cut-off was Q1 FY2027 (quarter ended 30 June 2026). Infosys scheduled its Q2 FY2027 results announcement for 23 October 2026, so that release was not yet available on the 22 October cut-off. Official consolidated IFRS snapshot values for Q1 FY2027 versus Q1 FY2026 are shown below.</w:t>
      </w:r>
    </w:p>
    <w:tbl>
      <w:tblPr>
        <w:tblStyle w:val="LightShading-Accent1"/>
        <w:tblW w:type="auto" w:w="0"/>
        <w:tblLook w:firstColumn="1" w:firstRow="1" w:lastColumn="0" w:lastRow="0" w:noHBand="0" w:noVBand="1" w:val="04A0"/>
      </w:tblPr>
      <w:tblGrid>
        <w:gridCol w:w="2541"/>
        <w:gridCol w:w="2541"/>
        <w:gridCol w:w="2541"/>
        <w:gridCol w:w="2541"/>
      </w:tblGrid>
      <w:tr>
        <w:tc>
          <w:tcPr>
            <w:tcW w:type="dxa" w:w="2541"/>
          </w:tcPr>
          <w:p>
            <w:r>
              <w:t>Metric</w:t>
            </w:r>
          </w:p>
        </w:tc>
        <w:tc>
          <w:tcPr>
            <w:tcW w:type="dxa" w:w="2541"/>
          </w:tcPr>
          <w:p>
            <w:r>
              <w:t>Q1 FY2026</w:t>
            </w:r>
          </w:p>
        </w:tc>
        <w:tc>
          <w:tcPr>
            <w:tcW w:type="dxa" w:w="2541"/>
          </w:tcPr>
          <w:p>
            <w:r>
              <w:t>Q1 FY2027</w:t>
            </w:r>
          </w:p>
        </w:tc>
        <w:tc>
          <w:tcPr>
            <w:tcW w:type="dxa" w:w="2541"/>
          </w:tcPr>
          <w:p>
            <w:r>
              <w:t>YoY change</w:t>
            </w:r>
          </w:p>
        </w:tc>
      </w:tr>
      <w:tr>
        <w:tc>
          <w:tcPr>
            <w:tcW w:type="dxa" w:w="2541"/>
          </w:tcPr>
          <w:p>
            <w:r>
              <w:t>Revenue (₹ crore)</w:t>
            </w:r>
          </w:p>
        </w:tc>
        <w:tc>
          <w:tcPr>
            <w:tcW w:type="dxa" w:w="2541"/>
          </w:tcPr>
          <w:p>
            <w:r>
              <w:t>42,279</w:t>
            </w:r>
          </w:p>
        </w:tc>
        <w:tc>
          <w:tcPr>
            <w:tcW w:type="dxa" w:w="2541"/>
          </w:tcPr>
          <w:p>
            <w:r>
              <w:t>48,211</w:t>
            </w:r>
          </w:p>
        </w:tc>
        <w:tc>
          <w:tcPr>
            <w:tcW w:type="dxa" w:w="2541"/>
          </w:tcPr>
          <w:p>
            <w:r>
              <w:t>+14.0%</w:t>
            </w:r>
          </w:p>
        </w:tc>
      </w:tr>
      <w:tr>
        <w:tc>
          <w:tcPr>
            <w:tcW w:type="dxa" w:w="2541"/>
          </w:tcPr>
          <w:p>
            <w:r>
              <w:t>Operating profit (₹ crore)</w:t>
            </w:r>
          </w:p>
        </w:tc>
        <w:tc>
          <w:tcPr>
            <w:tcW w:type="dxa" w:w="2541"/>
          </w:tcPr>
          <w:p>
            <w:r>
              <w:t>8,803</w:t>
            </w:r>
          </w:p>
        </w:tc>
        <w:tc>
          <w:tcPr>
            <w:tcW w:type="dxa" w:w="2541"/>
          </w:tcPr>
          <w:p>
            <w:r>
              <w:t>10,163</w:t>
            </w:r>
          </w:p>
        </w:tc>
        <w:tc>
          <w:tcPr>
            <w:tcW w:type="dxa" w:w="2541"/>
          </w:tcPr>
          <w:p>
            <w:r>
              <w:t>+15.4%</w:t>
            </w:r>
          </w:p>
        </w:tc>
      </w:tr>
      <w:tr>
        <w:tc>
          <w:tcPr>
            <w:tcW w:type="dxa" w:w="2541"/>
          </w:tcPr>
          <w:p>
            <w:r>
              <w:t>Operating margin</w:t>
            </w:r>
          </w:p>
        </w:tc>
        <w:tc>
          <w:tcPr>
            <w:tcW w:type="dxa" w:w="2541"/>
          </w:tcPr>
          <w:p>
            <w:r>
              <w:t>20.8%</w:t>
            </w:r>
          </w:p>
        </w:tc>
        <w:tc>
          <w:tcPr>
            <w:tcW w:type="dxa" w:w="2541"/>
          </w:tcPr>
          <w:p>
            <w:r>
              <w:t>21.1%</w:t>
            </w:r>
          </w:p>
        </w:tc>
        <w:tc>
          <w:tcPr>
            <w:tcW w:type="dxa" w:w="2541"/>
          </w:tcPr>
          <w:p>
            <w:r>
              <w:t>+0.3 pp</w:t>
            </w:r>
          </w:p>
        </w:tc>
      </w:tr>
      <w:tr>
        <w:tc>
          <w:tcPr>
            <w:tcW w:type="dxa" w:w="2541"/>
          </w:tcPr>
          <w:p>
            <w:r>
              <w:t>Net profit after NCI (₹ crore)</w:t>
            </w:r>
          </w:p>
        </w:tc>
        <w:tc>
          <w:tcPr>
            <w:tcW w:type="dxa" w:w="2541"/>
          </w:tcPr>
          <w:p>
            <w:r>
              <w:t>6,921</w:t>
            </w:r>
          </w:p>
        </w:tc>
        <w:tc>
          <w:tcPr>
            <w:tcW w:type="dxa" w:w="2541"/>
          </w:tcPr>
          <w:p>
            <w:r>
              <w:t>7,769</w:t>
            </w:r>
          </w:p>
        </w:tc>
        <w:tc>
          <w:tcPr>
            <w:tcW w:type="dxa" w:w="2541"/>
          </w:tcPr>
          <w:p>
            <w:r>
              <w:t>+12.2%</w:t>
            </w:r>
          </w:p>
        </w:tc>
      </w:tr>
      <w:tr>
        <w:tc>
          <w:tcPr>
            <w:tcW w:type="dxa" w:w="2541"/>
          </w:tcPr>
          <w:p>
            <w:r>
              <w:t>Basic EPS (₹)</w:t>
            </w:r>
          </w:p>
        </w:tc>
        <w:tc>
          <w:tcPr>
            <w:tcW w:type="dxa" w:w="2541"/>
          </w:tcPr>
          <w:p>
            <w:r>
              <w:t>16.70</w:t>
            </w:r>
          </w:p>
        </w:tc>
        <w:tc>
          <w:tcPr>
            <w:tcW w:type="dxa" w:w="2541"/>
          </w:tcPr>
          <w:p>
            <w:r>
              <w:t>19.19</w:t>
            </w:r>
          </w:p>
        </w:tc>
        <w:tc>
          <w:tcPr>
            <w:tcW w:type="dxa" w:w="2541"/>
          </w:tcPr>
          <w:p>
            <w:r>
              <w:t>+14.9%</w:t>
            </w:r>
          </w:p>
        </w:tc>
      </w:tr>
    </w:tbl>
    <w:p>
      <w:r>
        <w:t>Interpretation: Q1 revenue and operating profit grew year on year, while operating margin increased modestly. Treat reported metrics as historical and consult the statement notes before attributing changes. These quarterly figures supplement, rather than replace, the annual FY2024-25 versus FY2025-26 analysis.</w:t>
      </w:r>
    </w:p>
    <w:p>
      <w:r>
        <w:t>Latest-quarter sources: https://www.infosys.com/about/last-quarter.html ; https://www.infosys.com/investors/reports-filings/quarterly-results/2026-2027/q2.html (Q2 release scheduled for 23 October 2026).</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2"/>
        <w:sz w:val="16"/>
      </w:rPr>
      <w:t>Week 2 - FinTech Domain &amp; Software Development Fundamentals | Educational use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A374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b/>
      <w:bCs/>
      <w:color w:val="172B4D"/>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157A78"/>
      <w:sz w:val="22"/>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45C9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60"/>
      <w:contextualSpacing/>
    </w:pPr>
    <w:rPr>
      <w:rFonts w:asciiTheme="majorHAnsi" w:eastAsiaTheme="majorEastAsia" w:hAnsiTheme="majorHAnsi" w:cstheme="majorBidi" w:ascii="Aptos Display" w:hAnsi="Aptos Display"/>
      <w:b/>
      <w:color w:val="172B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