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3AABE" w14:textId="77777777" w:rsidR="007711D9" w:rsidRDefault="007711D9" w:rsidP="007711D9">
      <w:pPr>
        <w:ind w:left="-142" w:right="-330"/>
        <w:jc w:val="center"/>
        <w:rPr>
          <w:rFonts w:ascii="Times New Roman" w:eastAsia="Times New Roman" w:hAnsi="Times New Roman" w:cs="Times New Roman"/>
          <w:b/>
          <w:sz w:val="28"/>
          <w:szCs w:val="28"/>
        </w:rPr>
      </w:pPr>
    </w:p>
    <w:p w14:paraId="0C0514CF" w14:textId="77777777" w:rsidR="007711D9" w:rsidRDefault="007711D9" w:rsidP="007711D9">
      <w:pPr>
        <w:ind w:left="-142" w:right="-330"/>
        <w:jc w:val="center"/>
        <w:rPr>
          <w:rFonts w:ascii="Times New Roman" w:eastAsia="Times New Roman" w:hAnsi="Times New Roman" w:cs="Times New Roman"/>
          <w:b/>
          <w:sz w:val="28"/>
          <w:szCs w:val="28"/>
        </w:rPr>
      </w:pPr>
    </w:p>
    <w:p w14:paraId="14ABB86B" w14:textId="77777777" w:rsidR="007711D9" w:rsidRDefault="007711D9" w:rsidP="007711D9">
      <w:pPr>
        <w:ind w:left="-142" w:right="-330"/>
        <w:jc w:val="center"/>
        <w:rPr>
          <w:rFonts w:ascii="Times New Roman" w:eastAsia="Times New Roman" w:hAnsi="Times New Roman" w:cs="Times New Roman"/>
          <w:b/>
          <w:sz w:val="28"/>
          <w:szCs w:val="28"/>
        </w:rPr>
      </w:pPr>
    </w:p>
    <w:p w14:paraId="01D32F5F" w14:textId="77777777" w:rsidR="007711D9" w:rsidRDefault="007711D9" w:rsidP="007711D9">
      <w:pPr>
        <w:ind w:left="-142" w:right="-330"/>
        <w:jc w:val="center"/>
        <w:rPr>
          <w:rFonts w:ascii="Times New Roman" w:eastAsia="Times New Roman" w:hAnsi="Times New Roman" w:cs="Times New Roman"/>
          <w:b/>
          <w:sz w:val="28"/>
          <w:szCs w:val="28"/>
        </w:rPr>
      </w:pPr>
    </w:p>
    <w:p w14:paraId="5BB68411" w14:textId="77777777" w:rsidR="007711D9" w:rsidRDefault="007711D9" w:rsidP="007711D9">
      <w:pPr>
        <w:ind w:left="-142" w:right="-330"/>
        <w:jc w:val="center"/>
        <w:rPr>
          <w:rFonts w:ascii="Times New Roman" w:eastAsia="Times New Roman" w:hAnsi="Times New Roman" w:cs="Times New Roman"/>
          <w:b/>
          <w:sz w:val="28"/>
          <w:szCs w:val="28"/>
        </w:rPr>
      </w:pPr>
    </w:p>
    <w:p w14:paraId="7A1A5420" w14:textId="77777777" w:rsidR="007711D9" w:rsidRDefault="007711D9" w:rsidP="007711D9">
      <w:pPr>
        <w:ind w:left="-142" w:right="-330"/>
        <w:jc w:val="center"/>
        <w:rPr>
          <w:rFonts w:ascii="Times New Roman" w:eastAsia="Times New Roman" w:hAnsi="Times New Roman" w:cs="Times New Roman"/>
          <w:b/>
          <w:sz w:val="28"/>
          <w:szCs w:val="28"/>
        </w:rPr>
      </w:pPr>
    </w:p>
    <w:p w14:paraId="0F166E1C" w14:textId="77777777" w:rsidR="007711D9" w:rsidRDefault="007711D9" w:rsidP="007711D9">
      <w:pPr>
        <w:ind w:left="-142" w:right="-330"/>
        <w:jc w:val="center"/>
        <w:rPr>
          <w:rFonts w:ascii="Times New Roman" w:eastAsia="Times New Roman" w:hAnsi="Times New Roman" w:cs="Times New Roman"/>
          <w:b/>
          <w:sz w:val="28"/>
          <w:szCs w:val="28"/>
        </w:rPr>
      </w:pPr>
    </w:p>
    <w:p w14:paraId="6B80E7D4" w14:textId="77777777" w:rsidR="007711D9" w:rsidRDefault="007711D9" w:rsidP="007711D9">
      <w:pPr>
        <w:ind w:left="-142" w:right="-330"/>
        <w:jc w:val="center"/>
        <w:rPr>
          <w:rFonts w:ascii="Times New Roman" w:eastAsia="Times New Roman" w:hAnsi="Times New Roman" w:cs="Times New Roman"/>
          <w:b/>
          <w:sz w:val="28"/>
          <w:szCs w:val="28"/>
        </w:rPr>
      </w:pPr>
    </w:p>
    <w:p w14:paraId="09829B19" w14:textId="77777777" w:rsidR="007711D9" w:rsidRDefault="007711D9" w:rsidP="007711D9">
      <w:pPr>
        <w:ind w:left="-142" w:right="-330"/>
        <w:jc w:val="center"/>
        <w:rPr>
          <w:rFonts w:ascii="Times New Roman" w:eastAsia="Times New Roman" w:hAnsi="Times New Roman" w:cs="Times New Roman"/>
          <w:b/>
          <w:sz w:val="28"/>
          <w:szCs w:val="28"/>
        </w:rPr>
      </w:pPr>
    </w:p>
    <w:p w14:paraId="6CDF5BA4" w14:textId="77777777" w:rsidR="007711D9" w:rsidRDefault="007711D9" w:rsidP="007711D9">
      <w:pPr>
        <w:ind w:left="-142" w:right="-330"/>
        <w:jc w:val="center"/>
        <w:rPr>
          <w:rFonts w:ascii="Times New Roman" w:eastAsia="Times New Roman" w:hAnsi="Times New Roman" w:cs="Times New Roman"/>
          <w:b/>
          <w:sz w:val="28"/>
          <w:szCs w:val="28"/>
        </w:rPr>
      </w:pPr>
    </w:p>
    <w:p w14:paraId="4FE07F0B" w14:textId="77777777" w:rsidR="007711D9" w:rsidRDefault="007711D9" w:rsidP="007711D9">
      <w:pPr>
        <w:ind w:left="-142" w:right="-330"/>
        <w:jc w:val="center"/>
        <w:rPr>
          <w:rFonts w:ascii="Times New Roman" w:eastAsia="Times New Roman" w:hAnsi="Times New Roman" w:cs="Times New Roman"/>
          <w:b/>
          <w:sz w:val="28"/>
          <w:szCs w:val="28"/>
        </w:rPr>
      </w:pPr>
    </w:p>
    <w:p w14:paraId="4E0989A0" w14:textId="77777777" w:rsidR="007711D9" w:rsidRDefault="007711D9" w:rsidP="007711D9">
      <w:pPr>
        <w:ind w:left="-142" w:right="-330"/>
        <w:jc w:val="center"/>
        <w:rPr>
          <w:rFonts w:ascii="Times New Roman" w:eastAsia="Times New Roman" w:hAnsi="Times New Roman" w:cs="Times New Roman"/>
          <w:b/>
          <w:sz w:val="28"/>
          <w:szCs w:val="28"/>
        </w:rPr>
      </w:pPr>
    </w:p>
    <w:p w14:paraId="6CE2B9CF" w14:textId="5EF1AE3E" w:rsidR="00C469F6" w:rsidRDefault="00BE4DF4" w:rsidP="007711D9">
      <w:pPr>
        <w:ind w:left="-142" w:right="-33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Future Proofing Emily’s Retirement: A Comprehensive Superannuation Strategy</w:t>
      </w:r>
    </w:p>
    <w:p w14:paraId="50FF3A8D" w14:textId="77777777" w:rsidR="00C469F6" w:rsidRDefault="00C469F6">
      <w:pPr>
        <w:ind w:left="-142" w:right="-330"/>
        <w:rPr>
          <w:rFonts w:ascii="Times New Roman" w:eastAsia="Times New Roman" w:hAnsi="Times New Roman" w:cs="Times New Roman"/>
          <w:b/>
          <w:sz w:val="28"/>
          <w:szCs w:val="28"/>
        </w:rPr>
      </w:pPr>
    </w:p>
    <w:p w14:paraId="57126D40" w14:textId="77777777" w:rsidR="00C469F6" w:rsidRDefault="00C469F6">
      <w:pPr>
        <w:ind w:left="-142" w:right="-330"/>
        <w:rPr>
          <w:rFonts w:ascii="Times New Roman" w:eastAsia="Times New Roman" w:hAnsi="Times New Roman" w:cs="Times New Roman"/>
          <w:i/>
          <w:sz w:val="24"/>
          <w:szCs w:val="24"/>
        </w:rPr>
      </w:pPr>
    </w:p>
    <w:p w14:paraId="78F61819" w14:textId="77777777" w:rsidR="00C469F6" w:rsidRDefault="00C469F6">
      <w:pPr>
        <w:ind w:left="-142" w:right="-330"/>
        <w:rPr>
          <w:rFonts w:ascii="Times New Roman" w:eastAsia="Times New Roman" w:hAnsi="Times New Roman" w:cs="Times New Roman"/>
          <w:i/>
          <w:sz w:val="24"/>
          <w:szCs w:val="24"/>
        </w:rPr>
      </w:pPr>
    </w:p>
    <w:p w14:paraId="4C60FF8F" w14:textId="77777777" w:rsidR="007711D9" w:rsidRDefault="007711D9">
      <w:pPr>
        <w:ind w:left="-142" w:right="-330"/>
        <w:rPr>
          <w:rFonts w:ascii="Times New Roman" w:eastAsia="Times New Roman" w:hAnsi="Times New Roman" w:cs="Times New Roman"/>
          <w:i/>
          <w:sz w:val="24"/>
          <w:szCs w:val="24"/>
        </w:rPr>
      </w:pPr>
    </w:p>
    <w:p w14:paraId="619164B1" w14:textId="77777777" w:rsidR="007711D9" w:rsidRDefault="007711D9">
      <w:pPr>
        <w:ind w:left="-142" w:right="-330"/>
        <w:rPr>
          <w:rFonts w:ascii="Times New Roman" w:eastAsia="Times New Roman" w:hAnsi="Times New Roman" w:cs="Times New Roman"/>
          <w:i/>
          <w:sz w:val="24"/>
          <w:szCs w:val="24"/>
        </w:rPr>
      </w:pPr>
    </w:p>
    <w:p w14:paraId="62616F4B" w14:textId="77777777" w:rsidR="007711D9" w:rsidRDefault="007711D9">
      <w:pPr>
        <w:ind w:left="-142" w:right="-330"/>
        <w:rPr>
          <w:rFonts w:ascii="Times New Roman" w:eastAsia="Times New Roman" w:hAnsi="Times New Roman" w:cs="Times New Roman"/>
          <w:i/>
          <w:sz w:val="24"/>
          <w:szCs w:val="24"/>
        </w:rPr>
      </w:pPr>
    </w:p>
    <w:p w14:paraId="09D22470" w14:textId="77777777" w:rsidR="007711D9" w:rsidRDefault="007711D9">
      <w:pPr>
        <w:ind w:left="-142" w:right="-330"/>
        <w:rPr>
          <w:rFonts w:ascii="Times New Roman" w:eastAsia="Times New Roman" w:hAnsi="Times New Roman" w:cs="Times New Roman"/>
          <w:i/>
          <w:sz w:val="24"/>
          <w:szCs w:val="24"/>
        </w:rPr>
      </w:pPr>
    </w:p>
    <w:p w14:paraId="0A8CFAE7" w14:textId="77777777" w:rsidR="007711D9" w:rsidRDefault="007711D9">
      <w:pPr>
        <w:ind w:left="-142" w:right="-330"/>
        <w:rPr>
          <w:rFonts w:ascii="Times New Roman" w:eastAsia="Times New Roman" w:hAnsi="Times New Roman" w:cs="Times New Roman"/>
          <w:i/>
          <w:sz w:val="24"/>
          <w:szCs w:val="24"/>
        </w:rPr>
      </w:pPr>
    </w:p>
    <w:p w14:paraId="62390685" w14:textId="77777777" w:rsidR="007711D9" w:rsidRDefault="007711D9">
      <w:pPr>
        <w:ind w:left="-142" w:right="-330"/>
        <w:rPr>
          <w:rFonts w:ascii="Times New Roman" w:eastAsia="Times New Roman" w:hAnsi="Times New Roman" w:cs="Times New Roman"/>
          <w:i/>
          <w:sz w:val="24"/>
          <w:szCs w:val="24"/>
        </w:rPr>
      </w:pPr>
    </w:p>
    <w:p w14:paraId="090409FF" w14:textId="77777777" w:rsidR="007711D9" w:rsidRDefault="007711D9">
      <w:pPr>
        <w:ind w:left="-142" w:right="-330"/>
        <w:rPr>
          <w:rFonts w:ascii="Times New Roman" w:eastAsia="Times New Roman" w:hAnsi="Times New Roman" w:cs="Times New Roman"/>
          <w:i/>
          <w:sz w:val="24"/>
          <w:szCs w:val="24"/>
        </w:rPr>
      </w:pPr>
    </w:p>
    <w:p w14:paraId="50980328" w14:textId="77777777" w:rsidR="007711D9" w:rsidRDefault="007711D9">
      <w:pPr>
        <w:ind w:left="-142" w:right="-330"/>
        <w:rPr>
          <w:rFonts w:ascii="Times New Roman" w:eastAsia="Times New Roman" w:hAnsi="Times New Roman" w:cs="Times New Roman"/>
          <w:i/>
          <w:sz w:val="24"/>
          <w:szCs w:val="24"/>
        </w:rPr>
      </w:pPr>
    </w:p>
    <w:p w14:paraId="7B2D65D6" w14:textId="77777777" w:rsidR="007711D9" w:rsidRDefault="007711D9">
      <w:pPr>
        <w:ind w:left="-142" w:right="-330"/>
        <w:rPr>
          <w:rFonts w:ascii="Times New Roman" w:eastAsia="Times New Roman" w:hAnsi="Times New Roman" w:cs="Times New Roman"/>
          <w:i/>
          <w:sz w:val="24"/>
          <w:szCs w:val="24"/>
        </w:rPr>
      </w:pPr>
    </w:p>
    <w:p w14:paraId="3F7C98F9" w14:textId="77777777" w:rsidR="007711D9" w:rsidRDefault="007711D9">
      <w:pPr>
        <w:ind w:left="-142" w:right="-330"/>
        <w:rPr>
          <w:rFonts w:ascii="Times New Roman" w:eastAsia="Times New Roman" w:hAnsi="Times New Roman" w:cs="Times New Roman"/>
          <w:i/>
          <w:sz w:val="24"/>
          <w:szCs w:val="24"/>
        </w:rPr>
      </w:pPr>
    </w:p>
    <w:p w14:paraId="40A42A16" w14:textId="77777777" w:rsidR="007711D9" w:rsidRDefault="007711D9">
      <w:pPr>
        <w:ind w:left="-142" w:right="-330"/>
        <w:rPr>
          <w:rFonts w:ascii="Times New Roman" w:eastAsia="Times New Roman" w:hAnsi="Times New Roman" w:cs="Times New Roman"/>
          <w:i/>
          <w:sz w:val="24"/>
          <w:szCs w:val="24"/>
        </w:rPr>
      </w:pPr>
    </w:p>
    <w:p w14:paraId="3893DBD7" w14:textId="08DA7AC2" w:rsidR="00C469F6" w:rsidRDefault="00BE4DF4">
      <w:pPr>
        <w:ind w:left="-142" w:right="-330"/>
        <w:rPr>
          <w:rFonts w:ascii="Times New Roman" w:eastAsia="Times New Roman" w:hAnsi="Times New Roman" w:cs="Times New Roman"/>
          <w:color w:val="215E99"/>
          <w:sz w:val="24"/>
          <w:szCs w:val="24"/>
        </w:rPr>
      </w:pPr>
      <w:r>
        <w:rPr>
          <w:rFonts w:ascii="Times New Roman" w:eastAsia="Times New Roman" w:hAnsi="Times New Roman" w:cs="Times New Roman"/>
          <w:color w:val="215E99"/>
          <w:sz w:val="24"/>
          <w:szCs w:val="24"/>
        </w:rPr>
        <w:lastRenderedPageBreak/>
        <w:t>TABLE OF CONTENTS</w:t>
      </w:r>
    </w:p>
    <w:p w14:paraId="1B65885F" w14:textId="77777777" w:rsidR="00C469F6" w:rsidRDefault="00C469F6">
      <w:pPr>
        <w:ind w:left="-142" w:right="-330"/>
        <w:rPr>
          <w:rFonts w:ascii="Times New Roman" w:eastAsia="Times New Roman" w:hAnsi="Times New Roman" w:cs="Times New Roman"/>
          <w:color w:val="215E99"/>
          <w:sz w:val="24"/>
          <w:szCs w:val="24"/>
        </w:rPr>
      </w:pPr>
    </w:p>
    <w:p w14:paraId="212D6002" w14:textId="77777777" w:rsidR="00C469F6" w:rsidRDefault="00BE4DF4">
      <w:pPr>
        <w:spacing w:line="360" w:lineRule="auto"/>
        <w:ind w:left="-142" w:right="-3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Executive Summary     </w:t>
      </w:r>
    </w:p>
    <w:p w14:paraId="64C8E8BE" w14:textId="77777777" w:rsidR="00C469F6" w:rsidRDefault="00BE4DF4">
      <w:pPr>
        <w:spacing w:line="360" w:lineRule="auto"/>
        <w:ind w:left="-142" w:right="-3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Introduction               </w:t>
      </w:r>
    </w:p>
    <w:p w14:paraId="0A95ADD3" w14:textId="77777777" w:rsidR="00C469F6" w:rsidRDefault="00BE4DF4">
      <w:pPr>
        <w:spacing w:line="360" w:lineRule="auto"/>
        <w:ind w:left="-142" w:right="-3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Task 1: Superannuation Strategy Review </w:t>
      </w:r>
    </w:p>
    <w:p w14:paraId="2B3A213D" w14:textId="77777777" w:rsidR="00C469F6" w:rsidRDefault="00BE4DF4">
      <w:pPr>
        <w:spacing w:line="360" w:lineRule="auto"/>
        <w:ind w:left="-142" w:right="-330"/>
        <w:rPr>
          <w:rFonts w:ascii="Times New Roman" w:eastAsia="Times New Roman" w:hAnsi="Times New Roman" w:cs="Times New Roman"/>
          <w:sz w:val="24"/>
          <w:szCs w:val="24"/>
        </w:rPr>
      </w:pPr>
      <w:r>
        <w:rPr>
          <w:rFonts w:ascii="Times New Roman" w:eastAsia="Times New Roman" w:hAnsi="Times New Roman" w:cs="Times New Roman"/>
          <w:sz w:val="24"/>
          <w:szCs w:val="24"/>
        </w:rPr>
        <w:t>4. Task 2: Projection Methodology</w:t>
      </w:r>
    </w:p>
    <w:p w14:paraId="7019F3BB" w14:textId="77777777" w:rsidR="00C469F6" w:rsidRDefault="00BE4DF4">
      <w:pPr>
        <w:spacing w:line="360" w:lineRule="auto"/>
        <w:ind w:left="-142" w:right="-330"/>
        <w:rPr>
          <w:rFonts w:ascii="Times New Roman" w:eastAsia="Times New Roman" w:hAnsi="Times New Roman" w:cs="Times New Roman"/>
          <w:sz w:val="24"/>
          <w:szCs w:val="24"/>
        </w:rPr>
      </w:pPr>
      <w:r>
        <w:rPr>
          <w:rFonts w:ascii="Times New Roman" w:eastAsia="Times New Roman" w:hAnsi="Times New Roman" w:cs="Times New Roman"/>
          <w:sz w:val="24"/>
          <w:szCs w:val="24"/>
        </w:rPr>
        <w:t>5. Task 3: Analysis Framework</w:t>
      </w:r>
    </w:p>
    <w:p w14:paraId="2EA82D38" w14:textId="77777777" w:rsidR="00C469F6" w:rsidRDefault="00BE4DF4">
      <w:pPr>
        <w:spacing w:line="360" w:lineRule="auto"/>
        <w:ind w:left="-142" w:right="-3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Conclusion   </w:t>
      </w:r>
    </w:p>
    <w:p w14:paraId="04DB808F" w14:textId="77777777" w:rsidR="00C469F6" w:rsidRDefault="00BE4DF4">
      <w:pPr>
        <w:spacing w:line="360" w:lineRule="auto"/>
        <w:ind w:left="-142" w:right="-330"/>
        <w:rPr>
          <w:rFonts w:ascii="Times New Roman" w:eastAsia="Times New Roman" w:hAnsi="Times New Roman" w:cs="Times New Roman"/>
          <w:sz w:val="24"/>
          <w:szCs w:val="24"/>
        </w:rPr>
      </w:pPr>
      <w:r>
        <w:rPr>
          <w:rFonts w:ascii="Times New Roman" w:eastAsia="Times New Roman" w:hAnsi="Times New Roman" w:cs="Times New Roman"/>
          <w:sz w:val="24"/>
          <w:szCs w:val="24"/>
        </w:rPr>
        <w:t>7. References</w:t>
      </w:r>
    </w:p>
    <w:p w14:paraId="73DF9ECD" w14:textId="77777777" w:rsidR="00C469F6" w:rsidRDefault="00BE4DF4">
      <w:pPr>
        <w:spacing w:line="360" w:lineRule="auto"/>
        <w:ind w:left="-142" w:right="-330"/>
        <w:rPr>
          <w:rFonts w:ascii="Times New Roman" w:eastAsia="Times New Roman" w:hAnsi="Times New Roman" w:cs="Times New Roman"/>
          <w:sz w:val="24"/>
          <w:szCs w:val="24"/>
        </w:rPr>
      </w:pPr>
      <w:r>
        <w:rPr>
          <w:rFonts w:ascii="Times New Roman" w:eastAsia="Times New Roman" w:hAnsi="Times New Roman" w:cs="Times New Roman"/>
          <w:sz w:val="24"/>
          <w:szCs w:val="24"/>
        </w:rPr>
        <w:t>8. Appendices</w:t>
      </w:r>
    </w:p>
    <w:p w14:paraId="64DC08CB" w14:textId="77777777" w:rsidR="00C469F6" w:rsidRDefault="00C469F6">
      <w:pPr>
        <w:pStyle w:val="Heading1"/>
      </w:pPr>
    </w:p>
    <w:p w14:paraId="684A4A5B" w14:textId="77777777" w:rsidR="00C469F6" w:rsidRDefault="00C469F6">
      <w:pPr>
        <w:pStyle w:val="Heading1"/>
      </w:pPr>
    </w:p>
    <w:p w14:paraId="05137382" w14:textId="77777777" w:rsidR="00C469F6" w:rsidRDefault="00C469F6">
      <w:pPr>
        <w:pStyle w:val="Heading1"/>
      </w:pPr>
    </w:p>
    <w:p w14:paraId="5642EBA9" w14:textId="77777777" w:rsidR="00C469F6" w:rsidRDefault="00C469F6"/>
    <w:p w14:paraId="60579D64" w14:textId="77777777" w:rsidR="00C469F6" w:rsidRDefault="00C469F6"/>
    <w:p w14:paraId="1C3DEDDB" w14:textId="77777777" w:rsidR="00C469F6" w:rsidRDefault="00C469F6"/>
    <w:p w14:paraId="0EDAACF3" w14:textId="77777777" w:rsidR="00C469F6" w:rsidRDefault="00C469F6"/>
    <w:p w14:paraId="76299734" w14:textId="77777777" w:rsidR="00C469F6" w:rsidRDefault="00C469F6"/>
    <w:p w14:paraId="349A972F" w14:textId="77777777" w:rsidR="00C469F6" w:rsidRDefault="00C469F6"/>
    <w:p w14:paraId="29A6B221" w14:textId="77777777" w:rsidR="00C469F6" w:rsidRDefault="00C469F6"/>
    <w:p w14:paraId="7B0C5D79" w14:textId="77777777" w:rsidR="00C469F6" w:rsidRDefault="00C469F6"/>
    <w:p w14:paraId="246AE1B8" w14:textId="77777777" w:rsidR="00C469F6" w:rsidRDefault="00C469F6"/>
    <w:p w14:paraId="336225F0" w14:textId="77777777" w:rsidR="00C469F6" w:rsidRDefault="00C469F6"/>
    <w:p w14:paraId="575636B6" w14:textId="77777777" w:rsidR="00C469F6" w:rsidRDefault="00C469F6"/>
    <w:p w14:paraId="217DCBBF" w14:textId="77777777" w:rsidR="00C469F6" w:rsidRDefault="00BE4DF4">
      <w:pPr>
        <w:pStyle w:val="Heading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 Executive Summary </w:t>
      </w:r>
    </w:p>
    <w:p w14:paraId="71FE19E1" w14:textId="77777777" w:rsidR="00C469F6" w:rsidRDefault="00BE4DF4">
      <w:pPr>
        <w:pStyle w:val="Heading3"/>
        <w:keepNext w:val="0"/>
        <w:keepLines w:val="0"/>
        <w:rPr>
          <w:rFonts w:ascii="Times New Roman" w:eastAsia="Times New Roman" w:hAnsi="Times New Roman" w:cs="Times New Roman"/>
          <w:b w:val="0"/>
          <w:color w:val="2D3B45"/>
          <w:sz w:val="24"/>
          <w:szCs w:val="24"/>
          <w:highlight w:val="white"/>
        </w:rPr>
      </w:pPr>
      <w:bookmarkStart w:id="0" w:name="_heading=h.dkxfxtngvb7c" w:colFirst="0" w:colLast="0"/>
      <w:bookmarkEnd w:id="0"/>
      <w:r>
        <w:rPr>
          <w:rFonts w:ascii="Times New Roman" w:eastAsia="Times New Roman" w:hAnsi="Times New Roman" w:cs="Times New Roman"/>
          <w:b w:val="0"/>
          <w:color w:val="2D3B45"/>
          <w:sz w:val="24"/>
          <w:szCs w:val="24"/>
          <w:highlight w:val="white"/>
        </w:rPr>
        <w:t>This report evaluates the effectiveness of Emily's superannuation strategy to ensure she achieves her long-term retirement goals. At 30, Emily earns NZD 80,000 annually as a single mother, contributing to her superannuation scheme with her employer matching contributions.</w:t>
      </w:r>
      <w:r>
        <w:rPr>
          <w:rFonts w:ascii="Times New Roman" w:eastAsia="Times New Roman" w:hAnsi="Times New Roman" w:cs="Times New Roman"/>
          <w:b w:val="0"/>
          <w:color w:val="2D3B45"/>
          <w:sz w:val="24"/>
          <w:szCs w:val="24"/>
          <w:highlight w:val="white"/>
        </w:rPr>
        <w:br/>
      </w:r>
      <w:r>
        <w:rPr>
          <w:rFonts w:ascii="Times New Roman" w:eastAsia="Times New Roman" w:hAnsi="Times New Roman" w:cs="Times New Roman"/>
          <w:b w:val="0"/>
          <w:color w:val="2D3B45"/>
          <w:sz w:val="24"/>
          <w:szCs w:val="24"/>
          <w:highlight w:val="white"/>
        </w:rPr>
        <w:br/>
        <w:t>The objective is to assess if her current strategy aligns with her long-term financial goals of maintaining her current lifestyle, engaging in leisure activities, traveling regularly, and having sufficient funds for healthcare and unforeseen expenses during retirement after 65.</w:t>
      </w:r>
    </w:p>
    <w:p w14:paraId="3C33AF1F"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Emily has been investing in the following funds:</w:t>
      </w:r>
    </w:p>
    <w:p w14:paraId="25D1FEC5" w14:textId="77777777" w:rsidR="00C469F6" w:rsidRDefault="00BE4DF4">
      <w:pPr>
        <w:pBdr>
          <w:top w:val="nil"/>
          <w:left w:val="nil"/>
          <w:bottom w:val="nil"/>
          <w:right w:val="nil"/>
          <w:between w:val="nil"/>
        </w:pBdr>
        <w:spacing w:before="240" w:after="0" w:line="240" w:lineRule="auto"/>
        <w:ind w:left="7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 xml:space="preserve">Stable Bonds Fund: </w:t>
      </w:r>
      <w:r>
        <w:rPr>
          <w:rFonts w:ascii="Times New Roman" w:eastAsia="Times New Roman" w:hAnsi="Times New Roman" w:cs="Times New Roman"/>
          <w:color w:val="2D3B45"/>
          <w:sz w:val="24"/>
          <w:szCs w:val="24"/>
          <w:highlight w:val="white"/>
        </w:rPr>
        <w:t>Focused on low-risk, steady returns to preserve capital. Averaging an annual growth of 3.50% with a volatility measure of 4.00% over the past decade.</w:t>
      </w:r>
    </w:p>
    <w:p w14:paraId="0427A27D" w14:textId="77777777" w:rsidR="00C469F6" w:rsidRDefault="00BE4DF4">
      <w:pPr>
        <w:pBdr>
          <w:top w:val="nil"/>
          <w:left w:val="nil"/>
          <w:bottom w:val="nil"/>
          <w:right w:val="nil"/>
          <w:between w:val="nil"/>
        </w:pBdr>
        <w:spacing w:before="240" w:after="0" w:line="240" w:lineRule="auto"/>
        <w:ind w:left="7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 xml:space="preserve">Balanced Hybrid Fund: </w:t>
      </w:r>
      <w:r>
        <w:rPr>
          <w:rFonts w:ascii="Times New Roman" w:eastAsia="Times New Roman" w:hAnsi="Times New Roman" w:cs="Times New Roman"/>
          <w:color w:val="2D3B45"/>
          <w:sz w:val="24"/>
          <w:szCs w:val="24"/>
          <w:highlight w:val="white"/>
        </w:rPr>
        <w:t xml:space="preserve">Offering moderate growth with controlled risk. Displaying an average increase of 6.50% and a volatility of 8.50%. </w:t>
      </w:r>
    </w:p>
    <w:p w14:paraId="7F913D7E" w14:textId="34A69CFC" w:rsidR="00C469F6" w:rsidRDefault="00823895">
      <w:pPr>
        <w:pBdr>
          <w:top w:val="nil"/>
          <w:left w:val="nil"/>
          <w:bottom w:val="nil"/>
          <w:right w:val="nil"/>
          <w:between w:val="nil"/>
        </w:pBdr>
        <w:spacing w:before="240" w:after="0" w:line="240" w:lineRule="auto"/>
        <w:ind w:left="7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 xml:space="preserve">Sky High Growth Fund: </w:t>
      </w:r>
      <w:r>
        <w:rPr>
          <w:rFonts w:ascii="Times New Roman" w:eastAsia="Times New Roman" w:hAnsi="Times New Roman" w:cs="Times New Roman"/>
          <w:color w:val="2D3B45"/>
          <w:sz w:val="24"/>
          <w:szCs w:val="24"/>
          <w:highlight w:val="white"/>
        </w:rPr>
        <w:t>Targeting higher returns with increased volatility. Reflecting a historic ten-year growth rate of 10.50% and a volatility of 20.50%.</w:t>
      </w:r>
    </w:p>
    <w:p w14:paraId="01F111CC" w14:textId="77777777" w:rsidR="00C469F6" w:rsidRDefault="00C469F6">
      <w:pPr>
        <w:pBdr>
          <w:top w:val="nil"/>
          <w:left w:val="nil"/>
          <w:bottom w:val="nil"/>
          <w:right w:val="nil"/>
          <w:between w:val="nil"/>
        </w:pBdr>
        <w:spacing w:before="240" w:after="0" w:line="240" w:lineRule="auto"/>
        <w:ind w:left="720"/>
        <w:rPr>
          <w:rFonts w:ascii="Times New Roman" w:eastAsia="Times New Roman" w:hAnsi="Times New Roman" w:cs="Times New Roman"/>
          <w:color w:val="2D3B45"/>
          <w:sz w:val="24"/>
          <w:szCs w:val="24"/>
          <w:highlight w:val="white"/>
        </w:rPr>
      </w:pPr>
    </w:p>
    <w:p w14:paraId="18447EE0" w14:textId="77777777" w:rsidR="00C469F6" w:rsidRDefault="00BE4DF4">
      <w:pPr>
        <w:spacing w:after="240"/>
        <w:rPr>
          <w:rFonts w:ascii="Times New Roman" w:eastAsia="Times New Roman" w:hAnsi="Times New Roman" w:cs="Times New Roman"/>
          <w:sz w:val="24"/>
          <w:szCs w:val="24"/>
        </w:rPr>
      </w:pPr>
      <w:r>
        <w:rPr>
          <w:rFonts w:ascii="Times New Roman" w:eastAsia="Times New Roman" w:hAnsi="Times New Roman" w:cs="Times New Roman"/>
          <w:color w:val="2D3B45"/>
          <w:sz w:val="24"/>
          <w:szCs w:val="24"/>
          <w:highlight w:val="white"/>
        </w:rPr>
        <w:t>Emily's recommended superannuation fund is allocated as follows</w:t>
      </w:r>
    </w:p>
    <w:p w14:paraId="16C420F6" w14:textId="0411C858" w:rsidR="00C469F6" w:rsidRDefault="00BE4DF4">
      <w:pPr>
        <w:pBdr>
          <w:top w:val="nil"/>
          <w:left w:val="nil"/>
          <w:bottom w:val="nil"/>
          <w:right w:val="nil"/>
          <w:between w:val="nil"/>
        </w:pBdr>
        <w:spacing w:before="240" w:after="0" w:line="240" w:lineRule="auto"/>
        <w:ind w:left="7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 xml:space="preserve">Age 30: </w:t>
      </w:r>
      <w:r>
        <w:rPr>
          <w:rFonts w:ascii="Times New Roman" w:eastAsia="Times New Roman" w:hAnsi="Times New Roman" w:cs="Times New Roman"/>
          <w:color w:val="2D3B45"/>
          <w:sz w:val="24"/>
          <w:szCs w:val="24"/>
          <w:highlight w:val="white"/>
        </w:rPr>
        <w:t>40% Stable, 40% Hybrid, 20% Sky</w:t>
      </w:r>
      <w:r w:rsidR="00823895">
        <w:rPr>
          <w:rFonts w:ascii="Times New Roman" w:eastAsia="Times New Roman" w:hAnsi="Times New Roman" w:cs="Times New Roman"/>
          <w:color w:val="2D3B45"/>
          <w:sz w:val="24"/>
          <w:szCs w:val="24"/>
          <w:highlight w:val="white"/>
        </w:rPr>
        <w:t xml:space="preserve"> </w:t>
      </w:r>
      <w:r>
        <w:rPr>
          <w:rFonts w:ascii="Times New Roman" w:eastAsia="Times New Roman" w:hAnsi="Times New Roman" w:cs="Times New Roman"/>
          <w:color w:val="2D3B45"/>
          <w:sz w:val="24"/>
          <w:szCs w:val="24"/>
          <w:highlight w:val="white"/>
        </w:rPr>
        <w:t>High. Employee and employer contribute 6% of her salary.</w:t>
      </w:r>
    </w:p>
    <w:p w14:paraId="7D312FB7" w14:textId="393F7E8F" w:rsidR="00C469F6" w:rsidRDefault="00BE4DF4">
      <w:pPr>
        <w:pBdr>
          <w:top w:val="nil"/>
          <w:left w:val="nil"/>
          <w:bottom w:val="nil"/>
          <w:right w:val="nil"/>
          <w:between w:val="nil"/>
        </w:pBdr>
        <w:spacing w:before="240" w:after="0" w:line="240" w:lineRule="auto"/>
        <w:ind w:left="7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 xml:space="preserve">Age 31-40: </w:t>
      </w:r>
      <w:r>
        <w:rPr>
          <w:rFonts w:ascii="Times New Roman" w:eastAsia="Times New Roman" w:hAnsi="Times New Roman" w:cs="Times New Roman"/>
          <w:color w:val="2D3B45"/>
          <w:sz w:val="24"/>
          <w:szCs w:val="24"/>
          <w:highlight w:val="white"/>
        </w:rPr>
        <w:t>20% Stable, 30% Hybrid, 50% Sky</w:t>
      </w:r>
      <w:r w:rsidR="00823895">
        <w:rPr>
          <w:rFonts w:ascii="Times New Roman" w:eastAsia="Times New Roman" w:hAnsi="Times New Roman" w:cs="Times New Roman"/>
          <w:color w:val="2D3B45"/>
          <w:sz w:val="24"/>
          <w:szCs w:val="24"/>
          <w:highlight w:val="white"/>
        </w:rPr>
        <w:t xml:space="preserve"> </w:t>
      </w:r>
      <w:r>
        <w:rPr>
          <w:rFonts w:ascii="Times New Roman" w:eastAsia="Times New Roman" w:hAnsi="Times New Roman" w:cs="Times New Roman"/>
          <w:color w:val="2D3B45"/>
          <w:sz w:val="24"/>
          <w:szCs w:val="24"/>
          <w:highlight w:val="white"/>
        </w:rPr>
        <w:t>High. Contributions increase to 8% (5% employee, 3% employer).</w:t>
      </w:r>
    </w:p>
    <w:p w14:paraId="63008214" w14:textId="53E6FC54" w:rsidR="00C469F6" w:rsidRDefault="00BE4DF4">
      <w:pPr>
        <w:pBdr>
          <w:top w:val="nil"/>
          <w:left w:val="nil"/>
          <w:bottom w:val="nil"/>
          <w:right w:val="nil"/>
          <w:between w:val="nil"/>
        </w:pBdr>
        <w:spacing w:before="240" w:after="0" w:line="240" w:lineRule="auto"/>
        <w:ind w:left="7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 xml:space="preserve">Age 41-50: </w:t>
      </w:r>
      <w:r>
        <w:rPr>
          <w:rFonts w:ascii="Times New Roman" w:eastAsia="Times New Roman" w:hAnsi="Times New Roman" w:cs="Times New Roman"/>
          <w:color w:val="2D3B45"/>
          <w:sz w:val="24"/>
          <w:szCs w:val="24"/>
          <w:highlight w:val="white"/>
        </w:rPr>
        <w:t>25% Stable, 35% Hybrid, 40% Sky</w:t>
      </w:r>
      <w:r w:rsidR="00823895">
        <w:rPr>
          <w:rFonts w:ascii="Times New Roman" w:eastAsia="Times New Roman" w:hAnsi="Times New Roman" w:cs="Times New Roman"/>
          <w:color w:val="2D3B45"/>
          <w:sz w:val="24"/>
          <w:szCs w:val="24"/>
          <w:highlight w:val="white"/>
        </w:rPr>
        <w:t xml:space="preserve"> </w:t>
      </w:r>
      <w:r>
        <w:rPr>
          <w:rFonts w:ascii="Times New Roman" w:eastAsia="Times New Roman" w:hAnsi="Times New Roman" w:cs="Times New Roman"/>
          <w:color w:val="2D3B45"/>
          <w:sz w:val="24"/>
          <w:szCs w:val="24"/>
          <w:highlight w:val="white"/>
        </w:rPr>
        <w:t>High. Contributions remain at 10%.</w:t>
      </w:r>
    </w:p>
    <w:p w14:paraId="258B2A2F" w14:textId="5F6B0E30" w:rsidR="00C469F6" w:rsidRDefault="00BE4DF4">
      <w:pPr>
        <w:pBdr>
          <w:top w:val="nil"/>
          <w:left w:val="nil"/>
          <w:bottom w:val="nil"/>
          <w:right w:val="nil"/>
          <w:between w:val="nil"/>
        </w:pBdr>
        <w:spacing w:before="240" w:after="0" w:line="240" w:lineRule="auto"/>
        <w:ind w:left="7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 xml:space="preserve">Age 50-65: </w:t>
      </w:r>
      <w:r>
        <w:rPr>
          <w:rFonts w:ascii="Times New Roman" w:eastAsia="Times New Roman" w:hAnsi="Times New Roman" w:cs="Times New Roman"/>
          <w:color w:val="2D3B45"/>
          <w:sz w:val="24"/>
          <w:szCs w:val="24"/>
          <w:highlight w:val="white"/>
        </w:rPr>
        <w:t>50% Stable, 40% Hybrid, 10% Sky</w:t>
      </w:r>
      <w:r w:rsidR="00823895">
        <w:rPr>
          <w:rFonts w:ascii="Times New Roman" w:eastAsia="Times New Roman" w:hAnsi="Times New Roman" w:cs="Times New Roman"/>
          <w:color w:val="2D3B45"/>
          <w:sz w:val="24"/>
          <w:szCs w:val="24"/>
          <w:highlight w:val="white"/>
        </w:rPr>
        <w:t xml:space="preserve"> </w:t>
      </w:r>
      <w:r>
        <w:rPr>
          <w:rFonts w:ascii="Times New Roman" w:eastAsia="Times New Roman" w:hAnsi="Times New Roman" w:cs="Times New Roman"/>
          <w:color w:val="2D3B45"/>
          <w:sz w:val="24"/>
          <w:szCs w:val="24"/>
          <w:highlight w:val="white"/>
        </w:rPr>
        <w:t>High. Contributions remain at 10%</w:t>
      </w:r>
    </w:p>
    <w:p w14:paraId="66DE1CA5" w14:textId="77777777" w:rsidR="00C469F6" w:rsidRDefault="00BE4DF4">
      <w:pPr>
        <w:pBdr>
          <w:top w:val="nil"/>
          <w:left w:val="nil"/>
          <w:bottom w:val="nil"/>
          <w:right w:val="nil"/>
          <w:between w:val="nil"/>
        </w:pBdr>
        <w:spacing w:before="240" w:after="0" w:line="240" w:lineRule="auto"/>
        <w:ind w:left="7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 xml:space="preserve">Age 66 and above: </w:t>
      </w:r>
      <w:r>
        <w:rPr>
          <w:rFonts w:ascii="Times New Roman" w:eastAsia="Times New Roman" w:hAnsi="Times New Roman" w:cs="Times New Roman"/>
          <w:color w:val="2D3B45"/>
          <w:sz w:val="24"/>
          <w:szCs w:val="24"/>
          <w:highlight w:val="white"/>
        </w:rPr>
        <w:t xml:space="preserve">Stable 100% </w:t>
      </w:r>
    </w:p>
    <w:p w14:paraId="71FDE265" w14:textId="517F514D" w:rsidR="00C469F6" w:rsidRDefault="00BE4DF4">
      <w:pPr>
        <w:spacing w:before="240" w:after="24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Through Monte Carlo simulations with 1,000 iterations, Emily's superannuation grows to an average of NZD 1.5 million by age 65.  After retirement, Emily plans to withdraw an amount ranging from NZD 80,000 to NZD </w:t>
      </w:r>
      <w:r w:rsidR="00823895">
        <w:rPr>
          <w:rFonts w:ascii="Times New Roman" w:eastAsia="Times New Roman" w:hAnsi="Times New Roman" w:cs="Times New Roman"/>
          <w:color w:val="2D3B45"/>
          <w:sz w:val="24"/>
          <w:szCs w:val="24"/>
          <w:highlight w:val="white"/>
        </w:rPr>
        <w:t>130,000 from</w:t>
      </w:r>
      <w:r>
        <w:rPr>
          <w:rFonts w:ascii="Times New Roman" w:eastAsia="Times New Roman" w:hAnsi="Times New Roman" w:cs="Times New Roman"/>
          <w:color w:val="2D3B45"/>
          <w:sz w:val="24"/>
          <w:szCs w:val="24"/>
          <w:highlight w:val="white"/>
        </w:rPr>
        <w:t xml:space="preserve"> the superannuation fund annually from age 65 to 82. Emily's expenses are calculated, taking inflation into account. The projections show that by age 82, her fund balance would reduce to NZD 100,000.</w:t>
      </w:r>
    </w:p>
    <w:p w14:paraId="33E33195" w14:textId="3AA9B992" w:rsidR="00C469F6" w:rsidRDefault="00BE4DF4">
      <w:pPr>
        <w:spacing w:before="240" w:after="24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Emily consistently saves an emergency fund each year, calculated based on her salary after accounting for her expenses, with the total amount reaching nearly NZD 2.7 million at age 65. If Emily continues to invest her superannuation fund in the Stable fund (low volatility) after retirement, her fund will grow to approximately 2 million </w:t>
      </w:r>
      <w:r w:rsidR="00823895">
        <w:rPr>
          <w:rFonts w:ascii="Times New Roman" w:eastAsia="Times New Roman" w:hAnsi="Times New Roman" w:cs="Times New Roman"/>
          <w:color w:val="2D3B45"/>
          <w:sz w:val="24"/>
          <w:szCs w:val="24"/>
          <w:highlight w:val="white"/>
        </w:rPr>
        <w:t>NZD by</w:t>
      </w:r>
      <w:r>
        <w:rPr>
          <w:rFonts w:ascii="Times New Roman" w:eastAsia="Times New Roman" w:hAnsi="Times New Roman" w:cs="Times New Roman"/>
          <w:color w:val="2D3B45"/>
          <w:sz w:val="24"/>
          <w:szCs w:val="24"/>
          <w:highlight w:val="white"/>
        </w:rPr>
        <w:t xml:space="preserve"> age 82, providing greater financial security for the future. </w:t>
      </w:r>
    </w:p>
    <w:p w14:paraId="2DF1E265" w14:textId="77777777" w:rsidR="00C469F6" w:rsidRDefault="00BE4DF4">
      <w:pPr>
        <w:spacing w:before="240" w:after="240"/>
        <w:rPr>
          <w:rFonts w:ascii="Times New Roman" w:eastAsia="Times New Roman" w:hAnsi="Times New Roman" w:cs="Times New Roman"/>
        </w:rPr>
      </w:pPr>
      <w:r>
        <w:rPr>
          <w:rFonts w:ascii="Times New Roman" w:eastAsia="Times New Roman" w:hAnsi="Times New Roman" w:cs="Times New Roman"/>
          <w:color w:val="2D3B45"/>
          <w:sz w:val="24"/>
          <w:szCs w:val="24"/>
          <w:highlight w:val="white"/>
        </w:rPr>
        <w:lastRenderedPageBreak/>
        <w:t>Emily's current superannuation strategy effectively reaches her retirement goal of NZD 1.9 million by age 65. She also has an emergency fund of approximately NZD 2.7 million. However, to ensure sufficient funds throughout her retirement, it is recommended that she continues investing the bulk of her superannuation into a stable, low-risk fund post-retirement, as this will provide better longevity for her funds.</w:t>
      </w:r>
    </w:p>
    <w:p w14:paraId="3386F830" w14:textId="77777777" w:rsidR="00C469F6" w:rsidRDefault="00BE4DF4">
      <w:pPr>
        <w:pStyle w:val="Heading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Introduction </w:t>
      </w:r>
    </w:p>
    <w:p w14:paraId="5BEC0574" w14:textId="77777777" w:rsidR="00C469F6" w:rsidRDefault="00BE4DF4">
      <w:pPr>
        <w:spacing w:before="240" w:after="24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Developing a robust retirement plan is crucial in an era where financial security and stability are paramount. Emily, a 30-year-old data analyst from Auckland, New Zealand, earning NZD 80,000, approaches her retirement strategy with a clear vision: maintaining a comfortable lifestyle that allows for leisure activities, regular vacations, and adequate healthcare, all while securing a financially stable future for herself and her child. This analysis evaluates and optimizes Emily's superannuation contributions and fund allocations to ensure her goals are met efficiently and effectively.</w:t>
      </w:r>
    </w:p>
    <w:p w14:paraId="089A1FF1" w14:textId="3E60C067" w:rsidR="00C469F6" w:rsidRDefault="00BE4DF4">
      <w:pPr>
        <w:spacing w:before="240" w:after="24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Emily's superannuation strategy involves a diversified investment across three funds: the Stable Bonds Fund, Balanced Hybrid Fund, and </w:t>
      </w:r>
      <w:proofErr w:type="gramStart"/>
      <w:r w:rsidR="00823895">
        <w:rPr>
          <w:rFonts w:ascii="Times New Roman" w:eastAsia="Times New Roman" w:hAnsi="Times New Roman" w:cs="Times New Roman"/>
          <w:color w:val="2D3B45"/>
          <w:sz w:val="24"/>
          <w:szCs w:val="24"/>
          <w:highlight w:val="white"/>
        </w:rPr>
        <w:t>Sky High</w:t>
      </w:r>
      <w:proofErr w:type="gramEnd"/>
      <w:r>
        <w:rPr>
          <w:rFonts w:ascii="Times New Roman" w:eastAsia="Times New Roman" w:hAnsi="Times New Roman" w:cs="Times New Roman"/>
          <w:color w:val="2D3B45"/>
          <w:sz w:val="24"/>
          <w:szCs w:val="24"/>
          <w:highlight w:val="white"/>
        </w:rPr>
        <w:t xml:space="preserve"> Equity Growth Fund. Her investment strategy evolves over five life stages (ages 30, 31-40, 41-50, 51-65, 66 and above), each tailored to balance risk and return based on her changing financial needs and risk tolerance.</w:t>
      </w:r>
    </w:p>
    <w:p w14:paraId="1BC80A23" w14:textId="77777777" w:rsidR="00C469F6" w:rsidRDefault="00BE4DF4">
      <w:pPr>
        <w:spacing w:before="240" w:after="24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Utilizing a Monte Carlo simulation approach, we project the future value of her superannuation fund at various life stages and assess the sufficiency of her contributions to meet her retirement goals. By adjusting her fund allocations and contribution rates at different ages, we aim to maximize her returns while aligning with her risk tolerance and long-term objectives. </w:t>
      </w:r>
    </w:p>
    <w:p w14:paraId="6439B349" w14:textId="77777777" w:rsidR="00C469F6" w:rsidRDefault="00BE4DF4">
      <w:pPr>
        <w:spacing w:before="240" w:after="24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In the following sections, we will explore the assumptions behind Emily's retirement plans, evaluate the sufficiency of her current contributions, and outline a method for projecting the future value of her superannuation fund. </w:t>
      </w:r>
    </w:p>
    <w:p w14:paraId="149FD7CE" w14:textId="77777777" w:rsidR="00C469F6" w:rsidRDefault="00BE4DF4">
      <w:pPr>
        <w:spacing w:before="240" w:after="240"/>
        <w:rPr>
          <w:rFonts w:ascii="Times New Roman" w:eastAsia="Times New Roman" w:hAnsi="Times New Roman" w:cs="Times New Roman"/>
          <w:color w:val="2D3B45"/>
          <w:sz w:val="28"/>
          <w:szCs w:val="28"/>
          <w:highlight w:val="white"/>
        </w:rPr>
      </w:pPr>
      <w:r>
        <w:rPr>
          <w:rFonts w:ascii="Times New Roman" w:eastAsia="Times New Roman" w:hAnsi="Times New Roman" w:cs="Times New Roman"/>
          <w:color w:val="2D3B45"/>
          <w:sz w:val="24"/>
          <w:szCs w:val="24"/>
          <w:highlight w:val="white"/>
        </w:rPr>
        <w:t>This report offers actionable recommendations for optimizing her contributions and investments. By maintaining a keen focus on her circumstances and financial aspirations, we aim to deliver a tailored and effective retirement plan that stands resilient against economic fluctuations and personal uncertainties.</w:t>
      </w:r>
    </w:p>
    <w:p w14:paraId="5326BCF9"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F5496"/>
          <w:sz w:val="28"/>
          <w:szCs w:val="28"/>
        </w:rPr>
        <w:t xml:space="preserve">3. Task 1 </w:t>
      </w:r>
    </w:p>
    <w:p w14:paraId="102C6CB5"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Emily has a long investment horizon, which allows for higher risk tolerance and potential for growth. Her allocation aims to balance conservative and growth investments, ensuring capital preservation and appreciation. Diversification reduces the overall portfolio volatility by combining returns with different risk profiles. </w:t>
      </w:r>
    </w:p>
    <w:sdt>
      <w:sdtPr>
        <w:tag w:val="goog_rdk_0"/>
        <w:id w:val="548117309"/>
        <w:lock w:val="contentLocked"/>
      </w:sdtPr>
      <w:sdtContent>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C469F6" w14:paraId="30469F4D" w14:textId="77777777">
            <w:trPr>
              <w:trHeight w:val="660"/>
            </w:trPr>
            <w:tc>
              <w:tcPr>
                <w:tcW w:w="1560" w:type="dxa"/>
                <w:tcMar>
                  <w:top w:w="100" w:type="dxa"/>
                  <w:left w:w="100" w:type="dxa"/>
                  <w:bottom w:w="100" w:type="dxa"/>
                  <w:right w:w="100" w:type="dxa"/>
                </w:tcMar>
              </w:tcPr>
              <w:p w14:paraId="135323D7"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 xml:space="preserve">Funds </w:t>
                </w:r>
              </w:p>
            </w:tc>
            <w:tc>
              <w:tcPr>
                <w:tcW w:w="1560" w:type="dxa"/>
                <w:tcMar>
                  <w:top w:w="100" w:type="dxa"/>
                  <w:left w:w="100" w:type="dxa"/>
                  <w:bottom w:w="100" w:type="dxa"/>
                  <w:right w:w="100" w:type="dxa"/>
                </w:tcMar>
              </w:tcPr>
              <w:p w14:paraId="7792988A"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Allocation Age 30</w:t>
                </w:r>
              </w:p>
            </w:tc>
            <w:tc>
              <w:tcPr>
                <w:tcW w:w="1560" w:type="dxa"/>
                <w:tcMar>
                  <w:top w:w="100" w:type="dxa"/>
                  <w:left w:w="100" w:type="dxa"/>
                  <w:bottom w:w="100" w:type="dxa"/>
                  <w:right w:w="100" w:type="dxa"/>
                </w:tcMar>
              </w:tcPr>
              <w:p w14:paraId="4DF2D121"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Allocation Age 31-40</w:t>
                </w:r>
              </w:p>
            </w:tc>
            <w:tc>
              <w:tcPr>
                <w:tcW w:w="1560" w:type="dxa"/>
                <w:tcMar>
                  <w:top w:w="100" w:type="dxa"/>
                  <w:left w:w="100" w:type="dxa"/>
                  <w:bottom w:w="100" w:type="dxa"/>
                  <w:right w:w="100" w:type="dxa"/>
                </w:tcMar>
              </w:tcPr>
              <w:p w14:paraId="774DC783"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 xml:space="preserve">Allocation Age 41-50 </w:t>
                </w:r>
              </w:p>
            </w:tc>
            <w:tc>
              <w:tcPr>
                <w:tcW w:w="1560" w:type="dxa"/>
                <w:tcMar>
                  <w:top w:w="100" w:type="dxa"/>
                  <w:left w:w="100" w:type="dxa"/>
                  <w:bottom w:w="100" w:type="dxa"/>
                  <w:right w:w="100" w:type="dxa"/>
                </w:tcMar>
              </w:tcPr>
              <w:p w14:paraId="7DEBD556"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Allocation Age 51-65</w:t>
                </w:r>
              </w:p>
            </w:tc>
            <w:tc>
              <w:tcPr>
                <w:tcW w:w="1560" w:type="dxa"/>
                <w:tcMar>
                  <w:top w:w="100" w:type="dxa"/>
                  <w:left w:w="100" w:type="dxa"/>
                  <w:bottom w:w="100" w:type="dxa"/>
                  <w:right w:w="100" w:type="dxa"/>
                </w:tcMar>
              </w:tcPr>
              <w:p w14:paraId="5B64420C"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Allocation 61-82</w:t>
                </w:r>
              </w:p>
            </w:tc>
          </w:tr>
          <w:tr w:rsidR="00C469F6" w14:paraId="5AEEF383" w14:textId="77777777">
            <w:tc>
              <w:tcPr>
                <w:tcW w:w="1560" w:type="dxa"/>
                <w:tcMar>
                  <w:top w:w="100" w:type="dxa"/>
                  <w:left w:w="100" w:type="dxa"/>
                  <w:bottom w:w="100" w:type="dxa"/>
                  <w:right w:w="100" w:type="dxa"/>
                </w:tcMar>
              </w:tcPr>
              <w:p w14:paraId="205A17C1"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lastRenderedPageBreak/>
                  <w:t xml:space="preserve">Stable </w:t>
                </w:r>
              </w:p>
            </w:tc>
            <w:tc>
              <w:tcPr>
                <w:tcW w:w="1560" w:type="dxa"/>
                <w:tcMar>
                  <w:top w:w="100" w:type="dxa"/>
                  <w:left w:w="100" w:type="dxa"/>
                  <w:bottom w:w="100" w:type="dxa"/>
                  <w:right w:w="100" w:type="dxa"/>
                </w:tcMar>
              </w:tcPr>
              <w:p w14:paraId="3B4E053B"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40%</w:t>
                </w:r>
              </w:p>
            </w:tc>
            <w:tc>
              <w:tcPr>
                <w:tcW w:w="1560" w:type="dxa"/>
                <w:tcMar>
                  <w:top w:w="100" w:type="dxa"/>
                  <w:left w:w="100" w:type="dxa"/>
                  <w:bottom w:w="100" w:type="dxa"/>
                  <w:right w:w="100" w:type="dxa"/>
                </w:tcMar>
              </w:tcPr>
              <w:p w14:paraId="3B2B722A"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20%</w:t>
                </w:r>
              </w:p>
            </w:tc>
            <w:tc>
              <w:tcPr>
                <w:tcW w:w="1560" w:type="dxa"/>
                <w:tcMar>
                  <w:top w:w="100" w:type="dxa"/>
                  <w:left w:w="100" w:type="dxa"/>
                  <w:bottom w:w="100" w:type="dxa"/>
                  <w:right w:w="100" w:type="dxa"/>
                </w:tcMar>
              </w:tcPr>
              <w:p w14:paraId="0CC784E9"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25%</w:t>
                </w:r>
              </w:p>
            </w:tc>
            <w:tc>
              <w:tcPr>
                <w:tcW w:w="1560" w:type="dxa"/>
                <w:tcMar>
                  <w:top w:w="100" w:type="dxa"/>
                  <w:left w:w="100" w:type="dxa"/>
                  <w:bottom w:w="100" w:type="dxa"/>
                  <w:right w:w="100" w:type="dxa"/>
                </w:tcMar>
              </w:tcPr>
              <w:p w14:paraId="5D429557"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50%</w:t>
                </w:r>
              </w:p>
            </w:tc>
            <w:tc>
              <w:tcPr>
                <w:tcW w:w="1560" w:type="dxa"/>
                <w:tcMar>
                  <w:top w:w="100" w:type="dxa"/>
                  <w:left w:w="100" w:type="dxa"/>
                  <w:bottom w:w="100" w:type="dxa"/>
                  <w:right w:w="100" w:type="dxa"/>
                </w:tcMar>
              </w:tcPr>
              <w:p w14:paraId="5E681B5F"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100%</w:t>
                </w:r>
              </w:p>
            </w:tc>
          </w:tr>
          <w:tr w:rsidR="00C469F6" w14:paraId="09E26E42" w14:textId="77777777">
            <w:tc>
              <w:tcPr>
                <w:tcW w:w="1560" w:type="dxa"/>
                <w:tcMar>
                  <w:top w:w="100" w:type="dxa"/>
                  <w:left w:w="100" w:type="dxa"/>
                  <w:bottom w:w="100" w:type="dxa"/>
                  <w:right w:w="100" w:type="dxa"/>
                </w:tcMar>
              </w:tcPr>
              <w:p w14:paraId="1C00C6ED"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Hybrid)</w:t>
                </w:r>
              </w:p>
            </w:tc>
            <w:tc>
              <w:tcPr>
                <w:tcW w:w="1560" w:type="dxa"/>
                <w:tcMar>
                  <w:top w:w="100" w:type="dxa"/>
                  <w:left w:w="100" w:type="dxa"/>
                  <w:bottom w:w="100" w:type="dxa"/>
                  <w:right w:w="100" w:type="dxa"/>
                </w:tcMar>
              </w:tcPr>
              <w:p w14:paraId="64DC3FDF"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40%</w:t>
                </w:r>
              </w:p>
            </w:tc>
            <w:tc>
              <w:tcPr>
                <w:tcW w:w="1560" w:type="dxa"/>
                <w:tcMar>
                  <w:top w:w="100" w:type="dxa"/>
                  <w:left w:w="100" w:type="dxa"/>
                  <w:bottom w:w="100" w:type="dxa"/>
                  <w:right w:w="100" w:type="dxa"/>
                </w:tcMar>
              </w:tcPr>
              <w:p w14:paraId="708B3CAE"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30%</w:t>
                </w:r>
              </w:p>
            </w:tc>
            <w:tc>
              <w:tcPr>
                <w:tcW w:w="1560" w:type="dxa"/>
                <w:tcMar>
                  <w:top w:w="100" w:type="dxa"/>
                  <w:left w:w="100" w:type="dxa"/>
                  <w:bottom w:w="100" w:type="dxa"/>
                  <w:right w:w="100" w:type="dxa"/>
                </w:tcMar>
              </w:tcPr>
              <w:p w14:paraId="28A3C3EB"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35%</w:t>
                </w:r>
              </w:p>
            </w:tc>
            <w:tc>
              <w:tcPr>
                <w:tcW w:w="1560" w:type="dxa"/>
                <w:tcMar>
                  <w:top w:w="100" w:type="dxa"/>
                  <w:left w:w="100" w:type="dxa"/>
                  <w:bottom w:w="100" w:type="dxa"/>
                  <w:right w:w="100" w:type="dxa"/>
                </w:tcMar>
              </w:tcPr>
              <w:p w14:paraId="2D9FC6A5"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40%</w:t>
                </w:r>
              </w:p>
            </w:tc>
            <w:tc>
              <w:tcPr>
                <w:tcW w:w="1560" w:type="dxa"/>
                <w:tcMar>
                  <w:top w:w="100" w:type="dxa"/>
                  <w:left w:w="100" w:type="dxa"/>
                  <w:bottom w:w="100" w:type="dxa"/>
                  <w:right w:w="100" w:type="dxa"/>
                </w:tcMar>
              </w:tcPr>
              <w:p w14:paraId="65946B3A" w14:textId="77777777" w:rsidR="00C469F6" w:rsidRDefault="00C469F6">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p>
            </w:tc>
          </w:tr>
          <w:tr w:rsidR="00C469F6" w14:paraId="4F3EF20F" w14:textId="77777777">
            <w:tc>
              <w:tcPr>
                <w:tcW w:w="1560" w:type="dxa"/>
                <w:tcMar>
                  <w:top w:w="100" w:type="dxa"/>
                  <w:left w:w="100" w:type="dxa"/>
                  <w:bottom w:w="100" w:type="dxa"/>
                  <w:right w:w="100" w:type="dxa"/>
                </w:tcMar>
              </w:tcPr>
              <w:p w14:paraId="4EAC99D1"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 xml:space="preserve">Skyhigh </w:t>
                </w:r>
              </w:p>
            </w:tc>
            <w:tc>
              <w:tcPr>
                <w:tcW w:w="1560" w:type="dxa"/>
                <w:tcMar>
                  <w:top w:w="100" w:type="dxa"/>
                  <w:left w:w="100" w:type="dxa"/>
                  <w:bottom w:w="100" w:type="dxa"/>
                  <w:right w:w="100" w:type="dxa"/>
                </w:tcMar>
              </w:tcPr>
              <w:p w14:paraId="4E95B779"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20%</w:t>
                </w:r>
              </w:p>
            </w:tc>
            <w:tc>
              <w:tcPr>
                <w:tcW w:w="1560" w:type="dxa"/>
                <w:tcMar>
                  <w:top w:w="100" w:type="dxa"/>
                  <w:left w:w="100" w:type="dxa"/>
                  <w:bottom w:w="100" w:type="dxa"/>
                  <w:right w:w="100" w:type="dxa"/>
                </w:tcMar>
              </w:tcPr>
              <w:p w14:paraId="60AC80E9"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50%</w:t>
                </w:r>
              </w:p>
            </w:tc>
            <w:tc>
              <w:tcPr>
                <w:tcW w:w="1560" w:type="dxa"/>
                <w:tcMar>
                  <w:top w:w="100" w:type="dxa"/>
                  <w:left w:w="100" w:type="dxa"/>
                  <w:bottom w:w="100" w:type="dxa"/>
                  <w:right w:w="100" w:type="dxa"/>
                </w:tcMar>
              </w:tcPr>
              <w:p w14:paraId="54DA5052"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40%</w:t>
                </w:r>
              </w:p>
            </w:tc>
            <w:tc>
              <w:tcPr>
                <w:tcW w:w="1560" w:type="dxa"/>
                <w:tcMar>
                  <w:top w:w="100" w:type="dxa"/>
                  <w:left w:w="100" w:type="dxa"/>
                  <w:bottom w:w="100" w:type="dxa"/>
                  <w:right w:w="100" w:type="dxa"/>
                </w:tcMar>
              </w:tcPr>
              <w:p w14:paraId="56484649"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10%</w:t>
                </w:r>
              </w:p>
            </w:tc>
            <w:tc>
              <w:tcPr>
                <w:tcW w:w="1560" w:type="dxa"/>
                <w:tcMar>
                  <w:top w:w="100" w:type="dxa"/>
                  <w:left w:w="100" w:type="dxa"/>
                  <w:bottom w:w="100" w:type="dxa"/>
                  <w:right w:w="100" w:type="dxa"/>
                </w:tcMar>
              </w:tcPr>
              <w:p w14:paraId="2DBD38F6" w14:textId="77777777" w:rsidR="00C469F6" w:rsidRDefault="00C469F6">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p>
            </w:tc>
          </w:tr>
          <w:tr w:rsidR="00C469F6" w14:paraId="5BC854DE" w14:textId="77777777">
            <w:tc>
              <w:tcPr>
                <w:tcW w:w="1560" w:type="dxa"/>
                <w:tcMar>
                  <w:top w:w="100" w:type="dxa"/>
                  <w:left w:w="100" w:type="dxa"/>
                  <w:bottom w:w="100" w:type="dxa"/>
                  <w:right w:w="100" w:type="dxa"/>
                </w:tcMar>
              </w:tcPr>
              <w:p w14:paraId="3CD9083C"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 xml:space="preserve">Impact of allocation </w:t>
                </w:r>
              </w:p>
            </w:tc>
            <w:tc>
              <w:tcPr>
                <w:tcW w:w="1560" w:type="dxa"/>
                <w:tcMar>
                  <w:top w:w="100" w:type="dxa"/>
                  <w:left w:w="100" w:type="dxa"/>
                  <w:bottom w:w="100" w:type="dxa"/>
                  <w:right w:w="100" w:type="dxa"/>
                </w:tcMar>
              </w:tcPr>
              <w:p w14:paraId="6D1DB704"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This allocation leans toward conservatism given her age, potentially slowing the growth needed to meet her long-term goals.</w:t>
                </w:r>
              </w:p>
            </w:tc>
            <w:tc>
              <w:tcPr>
                <w:tcW w:w="1560" w:type="dxa"/>
                <w:tcMar>
                  <w:top w:w="100" w:type="dxa"/>
                  <w:left w:w="100" w:type="dxa"/>
                  <w:bottom w:w="100" w:type="dxa"/>
                  <w:right w:w="100" w:type="dxa"/>
                </w:tcMar>
              </w:tcPr>
              <w:p w14:paraId="280310C3"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 During this decade, Emily is maximizing her growth potential with a higher allocation in the SkyHigh Equity Growth Fund. This reflects a higher risk tolerance, aiming for substantial returns to build her retirement savings.</w:t>
                </w:r>
                <w:r>
                  <w:rPr>
                    <w:rFonts w:ascii="Times New Roman" w:eastAsia="Times New Roman" w:hAnsi="Times New Roman" w:cs="Times New Roman"/>
                    <w:color w:val="2D3B45"/>
                    <w:sz w:val="24"/>
                    <w:szCs w:val="24"/>
                    <w:highlight w:val="white"/>
                  </w:rPr>
                  <w:br/>
                </w:r>
                <w:r>
                  <w:rPr>
                    <w:rFonts w:ascii="Times New Roman" w:eastAsia="Times New Roman" w:hAnsi="Times New Roman" w:cs="Times New Roman"/>
                    <w:color w:val="2D3B45"/>
                    <w:sz w:val="24"/>
                    <w:szCs w:val="24"/>
                    <w:highlight w:val="white"/>
                  </w:rPr>
                  <w:br/>
                </w:r>
              </w:p>
            </w:tc>
            <w:tc>
              <w:tcPr>
                <w:tcW w:w="1560" w:type="dxa"/>
                <w:tcMar>
                  <w:top w:w="100" w:type="dxa"/>
                  <w:left w:w="100" w:type="dxa"/>
                  <w:bottom w:w="100" w:type="dxa"/>
                  <w:right w:w="100" w:type="dxa"/>
                </w:tcMar>
              </w:tcPr>
              <w:p w14:paraId="18A6C981"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This allocation shifts slightly towards stability while maintaining substantial exposure to equities. This ensures she continues to benefit from growth opportunities while gradually reducing her overall risk profile.</w:t>
                </w:r>
              </w:p>
            </w:tc>
            <w:tc>
              <w:tcPr>
                <w:tcW w:w="1560" w:type="dxa"/>
                <w:tcMar>
                  <w:top w:w="100" w:type="dxa"/>
                  <w:left w:w="100" w:type="dxa"/>
                  <w:bottom w:w="100" w:type="dxa"/>
                  <w:right w:w="100" w:type="dxa"/>
                </w:tcMar>
              </w:tcPr>
              <w:p w14:paraId="518D2A56"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The significant increase in Stable Bonds signals a shift toward capital preservation as retirement approaches. The Balanced Fund continues to provide moderate growth, while the reduced Sky High allocation minimizes exposure to market volatility.</w:t>
                </w:r>
              </w:p>
            </w:tc>
            <w:tc>
              <w:tcPr>
                <w:tcW w:w="1560" w:type="dxa"/>
                <w:tcMar>
                  <w:top w:w="100" w:type="dxa"/>
                  <w:left w:w="100" w:type="dxa"/>
                  <w:bottom w:w="100" w:type="dxa"/>
                  <w:right w:w="100" w:type="dxa"/>
                </w:tcMar>
              </w:tcPr>
              <w:p w14:paraId="2F9E023B"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Investing entirely in Stable Bonds aligns with the need for low-risk, steady returns to maintain her retirement lifestyle. This allocation minimizes the risk of losses while ensuring consistent, reliable growth.</w:t>
                </w:r>
              </w:p>
            </w:tc>
          </w:tr>
          <w:tr w:rsidR="00C469F6" w14:paraId="6B78EC57" w14:textId="77777777">
            <w:tc>
              <w:tcPr>
                <w:tcW w:w="1560" w:type="dxa"/>
                <w:tcMar>
                  <w:top w:w="100" w:type="dxa"/>
                  <w:left w:w="100" w:type="dxa"/>
                  <w:bottom w:w="100" w:type="dxa"/>
                  <w:right w:w="100" w:type="dxa"/>
                </w:tcMar>
              </w:tcPr>
              <w:p w14:paraId="2F6CB4C5"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Risk approach</w:t>
                </w:r>
              </w:p>
            </w:tc>
            <w:tc>
              <w:tcPr>
                <w:tcW w:w="1560" w:type="dxa"/>
                <w:tcMar>
                  <w:top w:w="100" w:type="dxa"/>
                  <w:left w:w="100" w:type="dxa"/>
                  <w:bottom w:w="100" w:type="dxa"/>
                  <w:right w:w="100" w:type="dxa"/>
                </w:tcMar>
              </w:tcPr>
              <w:p w14:paraId="785FC786"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Moderate, reflecting a cautious approach with balanced growth and stability.</w:t>
                </w:r>
              </w:p>
            </w:tc>
            <w:tc>
              <w:tcPr>
                <w:tcW w:w="1560" w:type="dxa"/>
                <w:tcMar>
                  <w:top w:w="100" w:type="dxa"/>
                  <w:left w:w="100" w:type="dxa"/>
                  <w:bottom w:w="100" w:type="dxa"/>
                  <w:right w:w="100" w:type="dxa"/>
                </w:tcMar>
              </w:tcPr>
              <w:p w14:paraId="0D765758"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High, focusing on maximizing growth during prime career years.</w:t>
                </w:r>
              </w:p>
            </w:tc>
            <w:tc>
              <w:tcPr>
                <w:tcW w:w="1560" w:type="dxa"/>
                <w:tcMar>
                  <w:top w:w="100" w:type="dxa"/>
                  <w:left w:w="100" w:type="dxa"/>
                  <w:bottom w:w="100" w:type="dxa"/>
                  <w:right w:w="100" w:type="dxa"/>
                </w:tcMar>
              </w:tcPr>
              <w:p w14:paraId="10018198"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Moderate to High, balancing growth with increasing stability.</w:t>
                </w:r>
              </w:p>
            </w:tc>
            <w:tc>
              <w:tcPr>
                <w:tcW w:w="1560" w:type="dxa"/>
                <w:tcMar>
                  <w:top w:w="100" w:type="dxa"/>
                  <w:left w:w="100" w:type="dxa"/>
                  <w:bottom w:w="100" w:type="dxa"/>
                  <w:right w:w="100" w:type="dxa"/>
                </w:tcMar>
              </w:tcPr>
              <w:p w14:paraId="24D567A8"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Low to Moderate, prioritizing capital preservation as retirement nears.</w:t>
                </w:r>
              </w:p>
            </w:tc>
            <w:tc>
              <w:tcPr>
                <w:tcW w:w="1560" w:type="dxa"/>
                <w:tcMar>
                  <w:top w:w="100" w:type="dxa"/>
                  <w:left w:w="100" w:type="dxa"/>
                  <w:bottom w:w="100" w:type="dxa"/>
                  <w:right w:w="100" w:type="dxa"/>
                </w:tcMar>
              </w:tcPr>
              <w:p w14:paraId="29F65DCB"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Very Low, emphasizing secure and steady returns in retirement.</w:t>
                </w:r>
              </w:p>
            </w:tc>
          </w:tr>
          <w:tr w:rsidR="00C469F6" w14:paraId="66A417D2" w14:textId="77777777">
            <w:tc>
              <w:tcPr>
                <w:tcW w:w="1560" w:type="dxa"/>
                <w:tcMar>
                  <w:top w:w="100" w:type="dxa"/>
                  <w:left w:w="100" w:type="dxa"/>
                  <w:bottom w:w="100" w:type="dxa"/>
                  <w:right w:w="100" w:type="dxa"/>
                </w:tcMar>
              </w:tcPr>
              <w:p w14:paraId="190FBD45"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 xml:space="preserve">Contribution </w:t>
                </w:r>
              </w:p>
            </w:tc>
            <w:tc>
              <w:tcPr>
                <w:tcW w:w="1560" w:type="dxa"/>
                <w:tcMar>
                  <w:top w:w="100" w:type="dxa"/>
                  <w:left w:w="100" w:type="dxa"/>
                  <w:bottom w:w="100" w:type="dxa"/>
                  <w:right w:w="100" w:type="dxa"/>
                </w:tcMar>
              </w:tcPr>
              <w:p w14:paraId="0BDCB6B1" w14:textId="77777777" w:rsidR="00C469F6" w:rsidRDefault="00BE4DF4">
                <w:pPr>
                  <w:widowControl w:val="0"/>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Employee: 3% of salary</w:t>
                </w:r>
              </w:p>
              <w:p w14:paraId="2D5967BD" w14:textId="77777777" w:rsidR="00C469F6" w:rsidRDefault="00BE4DF4">
                <w:pPr>
                  <w:widowControl w:val="0"/>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Employer: 3% of salary</w:t>
                </w:r>
              </w:p>
              <w:p w14:paraId="59ED836B" w14:textId="77777777" w:rsidR="00C469F6" w:rsidRDefault="00C469F6">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p>
            </w:tc>
            <w:tc>
              <w:tcPr>
                <w:tcW w:w="1560" w:type="dxa"/>
                <w:tcMar>
                  <w:top w:w="100" w:type="dxa"/>
                  <w:left w:w="100" w:type="dxa"/>
                  <w:bottom w:w="100" w:type="dxa"/>
                  <w:right w:w="100" w:type="dxa"/>
                </w:tcMar>
              </w:tcPr>
              <w:p w14:paraId="07D77DD6" w14:textId="77777777" w:rsidR="00C469F6" w:rsidRDefault="00BE4DF4">
                <w:pPr>
                  <w:widowControl w:val="0"/>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Employee: 5% of salary</w:t>
                </w:r>
              </w:p>
              <w:p w14:paraId="710325AC" w14:textId="77777777" w:rsidR="00C469F6" w:rsidRDefault="00BE4DF4">
                <w:pPr>
                  <w:widowControl w:val="0"/>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Employer: 3% of salary</w:t>
                </w:r>
              </w:p>
              <w:p w14:paraId="20C93AC3" w14:textId="77777777" w:rsidR="00C469F6" w:rsidRDefault="00C469F6">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p>
            </w:tc>
            <w:tc>
              <w:tcPr>
                <w:tcW w:w="1560" w:type="dxa"/>
                <w:tcMar>
                  <w:top w:w="100" w:type="dxa"/>
                  <w:left w:w="100" w:type="dxa"/>
                  <w:bottom w:w="100" w:type="dxa"/>
                  <w:right w:w="100" w:type="dxa"/>
                </w:tcMar>
              </w:tcPr>
              <w:p w14:paraId="62E0074E" w14:textId="77777777" w:rsidR="00C469F6" w:rsidRDefault="00BE4DF4">
                <w:pPr>
                  <w:widowControl w:val="0"/>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Employee: 7% of salary</w:t>
                </w:r>
              </w:p>
              <w:p w14:paraId="47852B94" w14:textId="77777777" w:rsidR="00C469F6" w:rsidRDefault="00BE4DF4">
                <w:pPr>
                  <w:widowControl w:val="0"/>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Employer: 3% of salary</w:t>
                </w:r>
              </w:p>
              <w:p w14:paraId="5AE5AA5A" w14:textId="77777777" w:rsidR="00C469F6" w:rsidRDefault="00C469F6">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p>
            </w:tc>
            <w:tc>
              <w:tcPr>
                <w:tcW w:w="1560" w:type="dxa"/>
                <w:tcMar>
                  <w:top w:w="100" w:type="dxa"/>
                  <w:left w:w="100" w:type="dxa"/>
                  <w:bottom w:w="100" w:type="dxa"/>
                  <w:right w:w="100" w:type="dxa"/>
                </w:tcMar>
              </w:tcPr>
              <w:p w14:paraId="37C51384" w14:textId="77777777" w:rsidR="00C469F6" w:rsidRDefault="00BE4DF4">
                <w:pPr>
                  <w:widowControl w:val="0"/>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Employee: 7% of salary</w:t>
                </w:r>
              </w:p>
              <w:p w14:paraId="1E8A7A1C" w14:textId="77777777" w:rsidR="00C469F6" w:rsidRDefault="00BE4DF4">
                <w:pPr>
                  <w:widowControl w:val="0"/>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Employer: 3% of salary</w:t>
                </w:r>
              </w:p>
              <w:p w14:paraId="417B3EC4" w14:textId="77777777" w:rsidR="00C469F6" w:rsidRDefault="00C469F6">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p>
            </w:tc>
            <w:tc>
              <w:tcPr>
                <w:tcW w:w="1560" w:type="dxa"/>
                <w:tcMar>
                  <w:top w:w="100" w:type="dxa"/>
                  <w:left w:w="100" w:type="dxa"/>
                  <w:bottom w:w="100" w:type="dxa"/>
                  <w:right w:w="100" w:type="dxa"/>
                </w:tcMar>
              </w:tcPr>
              <w:p w14:paraId="3023C0B1" w14:textId="77777777" w:rsidR="00C469F6" w:rsidRDefault="00BE4DF4">
                <w:pPr>
                  <w:widowControl w:val="0"/>
                  <w:pBdr>
                    <w:top w:val="nil"/>
                    <w:left w:val="nil"/>
                    <w:bottom w:val="nil"/>
                    <w:right w:val="nil"/>
                    <w:between w:val="nil"/>
                  </w:pBdr>
                  <w:spacing w:after="0" w:line="240"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No contributions</w:t>
                </w:r>
              </w:p>
            </w:tc>
          </w:tr>
        </w:tbl>
      </w:sdtContent>
    </w:sdt>
    <w:p w14:paraId="4032C51B"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Emily's risk approach evolves, starting moderately at age 30 and becoming more assertive during her 30s and early 40s. The higher the risk, the higher the return. During her midlife, she is recommended to take prudent risks while ensuring her financial security stays intact. As she </w:t>
      </w:r>
      <w:r>
        <w:rPr>
          <w:rFonts w:ascii="Times New Roman" w:eastAsia="Times New Roman" w:hAnsi="Times New Roman" w:cs="Times New Roman"/>
          <w:color w:val="2D3B45"/>
          <w:sz w:val="24"/>
          <w:szCs w:val="24"/>
          <w:highlight w:val="white"/>
        </w:rPr>
        <w:lastRenderedPageBreak/>
        <w:t>approaches retirement, her risk tolerance decreases gradually, shifting towards a highly conservative strategy to protect her accumulated savings. This approach aligns well with her long-term goal of achieving a comfortable and financially secure retirement.</w:t>
      </w:r>
    </w:p>
    <w:p w14:paraId="76C07346" w14:textId="77777777" w:rsidR="00C469F6" w:rsidRDefault="00C469F6">
      <w:pPr>
        <w:rPr>
          <w:rFonts w:ascii="Times New Roman" w:eastAsia="Times New Roman" w:hAnsi="Times New Roman" w:cs="Times New Roman"/>
          <w:color w:val="2D3B45"/>
          <w:sz w:val="20"/>
          <w:szCs w:val="20"/>
          <w:highlight w:val="white"/>
        </w:rPr>
      </w:pPr>
    </w:p>
    <w:p w14:paraId="501335CC" w14:textId="77777777" w:rsidR="00C469F6" w:rsidRDefault="00BE4DF4">
      <w:pPr>
        <w:rPr>
          <w:rFonts w:ascii="Times New Roman" w:eastAsia="Times New Roman" w:hAnsi="Times New Roman" w:cs="Times New Roman"/>
          <w:i/>
          <w:color w:val="2D3B45"/>
          <w:sz w:val="24"/>
          <w:szCs w:val="24"/>
          <w:highlight w:val="white"/>
        </w:rPr>
      </w:pPr>
      <w:r>
        <w:rPr>
          <w:rFonts w:ascii="Times New Roman" w:eastAsia="Times New Roman" w:hAnsi="Times New Roman" w:cs="Times New Roman"/>
          <w:i/>
          <w:color w:val="2D3B45"/>
          <w:sz w:val="24"/>
          <w:szCs w:val="24"/>
          <w:highlight w:val="white"/>
        </w:rPr>
        <w:t xml:space="preserve">Figure 1: Emily’s Investment Allocation for different age brackets </w:t>
      </w:r>
    </w:p>
    <w:p w14:paraId="0C03A635"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i/>
          <w:color w:val="2D3B45"/>
          <w:sz w:val="24"/>
          <w:szCs w:val="24"/>
          <w:highlight w:val="white"/>
        </w:rPr>
        <w:br/>
      </w:r>
      <w:r>
        <w:rPr>
          <w:rFonts w:ascii="Times New Roman" w:eastAsia="Times New Roman" w:hAnsi="Times New Roman" w:cs="Times New Roman"/>
          <w:i/>
          <w:noProof/>
          <w:color w:val="2D3B45"/>
          <w:sz w:val="24"/>
          <w:szCs w:val="24"/>
          <w:highlight w:val="white"/>
        </w:rPr>
        <w:drawing>
          <wp:inline distT="114300" distB="114300" distL="114300" distR="114300" wp14:anchorId="609E9012" wp14:editId="3E09E512">
            <wp:extent cx="3695700" cy="251099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695700" cy="2510996"/>
                    </a:xfrm>
                    <a:prstGeom prst="rect">
                      <a:avLst/>
                    </a:prstGeom>
                    <a:ln/>
                  </pic:spPr>
                </pic:pic>
              </a:graphicData>
            </a:graphic>
          </wp:inline>
        </w:drawing>
      </w:r>
    </w:p>
    <w:p w14:paraId="030C0398" w14:textId="77777777" w:rsidR="00C469F6" w:rsidRDefault="00C469F6">
      <w:pPr>
        <w:rPr>
          <w:rFonts w:ascii="Times New Roman" w:eastAsia="Times New Roman" w:hAnsi="Times New Roman" w:cs="Times New Roman"/>
          <w:color w:val="2D3B45"/>
          <w:sz w:val="24"/>
          <w:szCs w:val="24"/>
          <w:highlight w:val="white"/>
        </w:rPr>
      </w:pPr>
    </w:p>
    <w:p w14:paraId="7EF28481" w14:textId="77777777" w:rsidR="00C469F6" w:rsidRDefault="00BE4DF4">
      <w:pPr>
        <w:spacing w:after="240" w:line="360" w:lineRule="auto"/>
        <w:ind w:right="-320"/>
        <w:rPr>
          <w:rFonts w:ascii="Times New Roman" w:eastAsia="Times New Roman" w:hAnsi="Times New Roman" w:cs="Times New Roman"/>
          <w:i/>
          <w:color w:val="2D3B45"/>
          <w:sz w:val="24"/>
          <w:szCs w:val="24"/>
          <w:highlight w:val="white"/>
        </w:rPr>
      </w:pPr>
      <w:r>
        <w:rPr>
          <w:rFonts w:ascii="Times New Roman" w:eastAsia="Times New Roman" w:hAnsi="Times New Roman" w:cs="Times New Roman"/>
          <w:i/>
          <w:color w:val="2D3B45"/>
          <w:sz w:val="24"/>
          <w:szCs w:val="24"/>
          <w:highlight w:val="white"/>
        </w:rPr>
        <w:t>Figure 2: Contribution % allocation by Emily and Employer over the years</w:t>
      </w:r>
    </w:p>
    <w:p w14:paraId="38D2421A" w14:textId="77777777" w:rsidR="00C469F6" w:rsidRDefault="00BE4DF4">
      <w:pPr>
        <w:rPr>
          <w:rFonts w:ascii="Times New Roman" w:eastAsia="Times New Roman" w:hAnsi="Times New Roman" w:cs="Times New Roman"/>
          <w:color w:val="2D3B45"/>
          <w:sz w:val="20"/>
          <w:szCs w:val="20"/>
          <w:highlight w:val="white"/>
        </w:rPr>
      </w:pPr>
      <w:r>
        <w:rPr>
          <w:rFonts w:ascii="Times New Roman" w:eastAsia="Times New Roman" w:hAnsi="Times New Roman" w:cs="Times New Roman"/>
          <w:noProof/>
          <w:color w:val="2D3B45"/>
          <w:sz w:val="20"/>
          <w:szCs w:val="20"/>
          <w:highlight w:val="white"/>
        </w:rPr>
        <w:drawing>
          <wp:inline distT="114300" distB="114300" distL="114300" distR="114300" wp14:anchorId="1CA5B7E9" wp14:editId="1C8D2D5A">
            <wp:extent cx="4367213" cy="264042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367213" cy="2640428"/>
                    </a:xfrm>
                    <a:prstGeom prst="rect">
                      <a:avLst/>
                    </a:prstGeom>
                    <a:ln/>
                  </pic:spPr>
                </pic:pic>
              </a:graphicData>
            </a:graphic>
          </wp:inline>
        </w:drawing>
      </w:r>
      <w:r>
        <w:rPr>
          <w:rFonts w:ascii="Times New Roman" w:eastAsia="Times New Roman" w:hAnsi="Times New Roman" w:cs="Times New Roman"/>
          <w:color w:val="2D3B45"/>
          <w:sz w:val="20"/>
          <w:szCs w:val="20"/>
          <w:highlight w:val="white"/>
        </w:rPr>
        <w:br/>
      </w:r>
    </w:p>
    <w:p w14:paraId="753EA5F3" w14:textId="77777777" w:rsidR="00C469F6" w:rsidRDefault="00C469F6">
      <w:pPr>
        <w:rPr>
          <w:rFonts w:ascii="Times New Roman" w:eastAsia="Times New Roman" w:hAnsi="Times New Roman" w:cs="Times New Roman"/>
          <w:color w:val="2D3B45"/>
          <w:sz w:val="20"/>
          <w:szCs w:val="20"/>
          <w:highlight w:val="white"/>
        </w:rPr>
      </w:pPr>
    </w:p>
    <w:p w14:paraId="7F71588E" w14:textId="77777777" w:rsidR="00C469F6" w:rsidRDefault="00BE4DF4">
      <w:pPr>
        <w:rPr>
          <w:rFonts w:ascii="Times New Roman" w:eastAsia="Times New Roman" w:hAnsi="Times New Roman" w:cs="Times New Roman"/>
          <w:color w:val="2F5496"/>
          <w:sz w:val="28"/>
          <w:szCs w:val="28"/>
        </w:rPr>
      </w:pPr>
      <w:r>
        <w:rPr>
          <w:rFonts w:ascii="Times New Roman" w:eastAsia="Times New Roman" w:hAnsi="Times New Roman" w:cs="Times New Roman"/>
          <w:color w:val="2F5496"/>
          <w:sz w:val="28"/>
          <w:szCs w:val="28"/>
        </w:rPr>
        <w:t xml:space="preserve">4. Task 2 </w:t>
      </w:r>
    </w:p>
    <w:p w14:paraId="3A5F3466" w14:textId="77777777" w:rsidR="00C469F6" w:rsidRPr="00761156" w:rsidRDefault="00BE4DF4">
      <w:pPr>
        <w:rPr>
          <w:rFonts w:ascii="Times New Roman" w:eastAsia="Times New Roman" w:hAnsi="Times New Roman" w:cs="Times New Roman"/>
          <w:b/>
          <w:color w:val="2D3B45"/>
          <w:sz w:val="24"/>
          <w:szCs w:val="24"/>
          <w:u w:val="single"/>
        </w:rPr>
      </w:pPr>
      <w:r w:rsidRPr="00761156">
        <w:rPr>
          <w:rFonts w:ascii="Times New Roman" w:eastAsia="Times New Roman" w:hAnsi="Times New Roman" w:cs="Times New Roman"/>
          <w:b/>
          <w:color w:val="2D3B45"/>
          <w:sz w:val="24"/>
          <w:szCs w:val="24"/>
          <w:u w:val="single"/>
        </w:rPr>
        <w:lastRenderedPageBreak/>
        <w:t xml:space="preserve">Projection Methodology: </w:t>
      </w:r>
    </w:p>
    <w:p w14:paraId="716A0DC9"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The Monte Carlo simulation was employed to model Emily's salary growth and fund allocation. To enhance the robustness of the analysis, the results were based on the average of 1,000 simulations, providing a more reliable projection of potential outcomes.</w:t>
      </w:r>
    </w:p>
    <w:p w14:paraId="0C9FC4F8"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Under the assumption that both Emily's net salary and superannuation fund are tax-exempt, the financial projections are based on the total value of her income and contributions without any tax deductions.</w:t>
      </w:r>
    </w:p>
    <w:p w14:paraId="685415C3"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Age-specific strategies have been developed and aligned with her risk tolerance and retirement goals. A fixed salary growth rate of 3.5% (±0.7%) was applied to simulate annual increases, and contribution rates were adjusted across age brackets, incorporating employee and employer contributions. </w:t>
      </w:r>
    </w:p>
    <w:p w14:paraId="7CD3D877" w14:textId="2205797C"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 After evaluating her expenses, a surplus from the salary was identified and allocated as emergency funds that amounted </w:t>
      </w:r>
      <w:r w:rsidR="00823895">
        <w:rPr>
          <w:rFonts w:ascii="Times New Roman" w:eastAsia="Times New Roman" w:hAnsi="Times New Roman" w:cs="Times New Roman"/>
          <w:color w:val="2D3B45"/>
          <w:sz w:val="24"/>
          <w:szCs w:val="24"/>
          <w:highlight w:val="white"/>
        </w:rPr>
        <w:t>to NZD</w:t>
      </w:r>
      <w:r>
        <w:rPr>
          <w:rFonts w:ascii="Times New Roman" w:eastAsia="Times New Roman" w:hAnsi="Times New Roman" w:cs="Times New Roman"/>
          <w:color w:val="2D3B45"/>
          <w:sz w:val="24"/>
          <w:szCs w:val="24"/>
          <w:highlight w:val="white"/>
        </w:rPr>
        <w:t xml:space="preserve"> </w:t>
      </w:r>
      <w:r w:rsidR="00823895">
        <w:rPr>
          <w:rFonts w:ascii="Times New Roman" w:eastAsia="Times New Roman" w:hAnsi="Times New Roman" w:cs="Times New Roman"/>
          <w:color w:val="2D3B45"/>
          <w:sz w:val="24"/>
          <w:szCs w:val="24"/>
          <w:highlight w:val="white"/>
        </w:rPr>
        <w:t>2.7 million</w:t>
      </w:r>
      <w:r>
        <w:rPr>
          <w:rFonts w:ascii="Times New Roman" w:eastAsia="Times New Roman" w:hAnsi="Times New Roman" w:cs="Times New Roman"/>
          <w:color w:val="2D3B45"/>
          <w:sz w:val="24"/>
          <w:szCs w:val="24"/>
          <w:highlight w:val="white"/>
        </w:rPr>
        <w:t>. Multiple simulations of the total fund value revealed an expected value of approximately NZD 100,000 at the age of 82. This strategy accounts for inflation, ensuring sustainable financial planning tailored to her lifestyle and future needs.</w:t>
      </w:r>
    </w:p>
    <w:p w14:paraId="66244C62" w14:textId="0549DCA4"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Fund allocations were rebalanced over life stages to optimize growth and manage risk, projecting an approximate fund value of NZD 1.5 million by retirement. With emergency funds </w:t>
      </w:r>
      <w:r w:rsidR="00823895">
        <w:rPr>
          <w:rFonts w:ascii="Times New Roman" w:eastAsia="Times New Roman" w:hAnsi="Times New Roman" w:cs="Times New Roman"/>
          <w:color w:val="2D3B45"/>
          <w:sz w:val="24"/>
          <w:szCs w:val="24"/>
          <w:highlight w:val="white"/>
        </w:rPr>
        <w:t>totalling</w:t>
      </w:r>
      <w:r>
        <w:rPr>
          <w:rFonts w:ascii="Times New Roman" w:eastAsia="Times New Roman" w:hAnsi="Times New Roman" w:cs="Times New Roman"/>
          <w:color w:val="2D3B45"/>
          <w:sz w:val="24"/>
          <w:szCs w:val="24"/>
          <w:highlight w:val="white"/>
        </w:rPr>
        <w:t xml:space="preserve"> 2.7 million NZD, Considering Emily's personality, she is well-positioned to handle any financial uncertainty, regardless of the specific fund allocation. Considering the variability in the fund allocation we have calculated the below:</w:t>
      </w:r>
    </w:p>
    <w:p w14:paraId="19932EE2" w14:textId="6D923D59" w:rsidR="00C469F6" w:rsidRDefault="00BE4DF4">
      <w:pPr>
        <w:numPr>
          <w:ilvl w:val="0"/>
          <w:numId w:val="3"/>
        </w:numPr>
        <w:spacing w:after="0"/>
        <w:ind w:right="-3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Minimum</w:t>
      </w:r>
      <w:r>
        <w:rPr>
          <w:rFonts w:ascii="Times New Roman" w:eastAsia="Times New Roman" w:hAnsi="Times New Roman" w:cs="Times New Roman"/>
          <w:color w:val="2D3B45"/>
          <w:sz w:val="24"/>
          <w:szCs w:val="24"/>
          <w:highlight w:val="white"/>
        </w:rPr>
        <w:t xml:space="preserve">: NZD 1.2 million (under </w:t>
      </w:r>
      <w:r w:rsidR="00823895">
        <w:rPr>
          <w:rFonts w:ascii="Times New Roman" w:eastAsia="Times New Roman" w:hAnsi="Times New Roman" w:cs="Times New Roman"/>
          <w:color w:val="2D3B45"/>
          <w:sz w:val="24"/>
          <w:szCs w:val="24"/>
          <w:highlight w:val="white"/>
        </w:rPr>
        <w:t>unfavourable</w:t>
      </w:r>
      <w:r>
        <w:rPr>
          <w:rFonts w:ascii="Times New Roman" w:eastAsia="Times New Roman" w:hAnsi="Times New Roman" w:cs="Times New Roman"/>
          <w:color w:val="2D3B45"/>
          <w:sz w:val="24"/>
          <w:szCs w:val="24"/>
          <w:highlight w:val="white"/>
        </w:rPr>
        <w:t xml:space="preserve"> market conditions).</w:t>
      </w:r>
    </w:p>
    <w:p w14:paraId="3E7A616E" w14:textId="77777777" w:rsidR="00C469F6" w:rsidRDefault="00BE4DF4">
      <w:pPr>
        <w:numPr>
          <w:ilvl w:val="0"/>
          <w:numId w:val="3"/>
        </w:numPr>
        <w:spacing w:after="0"/>
        <w:ind w:right="-3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Average</w:t>
      </w:r>
      <w:r>
        <w:rPr>
          <w:rFonts w:ascii="Times New Roman" w:eastAsia="Times New Roman" w:hAnsi="Times New Roman" w:cs="Times New Roman"/>
          <w:color w:val="2D3B45"/>
          <w:sz w:val="24"/>
          <w:szCs w:val="24"/>
          <w:highlight w:val="white"/>
        </w:rPr>
        <w:t>: NZD 1.5 million (most likely outcome).</w:t>
      </w:r>
    </w:p>
    <w:p w14:paraId="77F87DD1" w14:textId="332994D5" w:rsidR="00C469F6" w:rsidRDefault="00BE4DF4">
      <w:pPr>
        <w:numPr>
          <w:ilvl w:val="0"/>
          <w:numId w:val="3"/>
        </w:numPr>
        <w:spacing w:after="240"/>
        <w:ind w:right="-3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Maximum</w:t>
      </w:r>
      <w:r>
        <w:rPr>
          <w:rFonts w:ascii="Times New Roman" w:eastAsia="Times New Roman" w:hAnsi="Times New Roman" w:cs="Times New Roman"/>
          <w:color w:val="2D3B45"/>
          <w:sz w:val="24"/>
          <w:szCs w:val="24"/>
          <w:highlight w:val="white"/>
        </w:rPr>
        <w:t xml:space="preserve">: NZD 1.6 million (under </w:t>
      </w:r>
      <w:r w:rsidR="00823895">
        <w:rPr>
          <w:rFonts w:ascii="Times New Roman" w:eastAsia="Times New Roman" w:hAnsi="Times New Roman" w:cs="Times New Roman"/>
          <w:color w:val="2D3B45"/>
          <w:sz w:val="24"/>
          <w:szCs w:val="24"/>
          <w:highlight w:val="white"/>
        </w:rPr>
        <w:t>favourable</w:t>
      </w:r>
      <w:r>
        <w:rPr>
          <w:rFonts w:ascii="Times New Roman" w:eastAsia="Times New Roman" w:hAnsi="Times New Roman" w:cs="Times New Roman"/>
          <w:color w:val="2D3B45"/>
          <w:sz w:val="24"/>
          <w:szCs w:val="24"/>
          <w:highlight w:val="white"/>
        </w:rPr>
        <w:t xml:space="preserve"> market conditions).</w:t>
      </w:r>
    </w:p>
    <w:p w14:paraId="12FFB85C"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This substantial reserve ensures she can navigate unexpected events or fluctuations without compromising her long-term financial stability.</w:t>
      </w:r>
    </w:p>
    <w:p w14:paraId="2C0F10C8" w14:textId="77777777" w:rsidR="00823895" w:rsidRDefault="00823895">
      <w:pPr>
        <w:rPr>
          <w:rFonts w:ascii="Times New Roman" w:eastAsia="Times New Roman" w:hAnsi="Times New Roman" w:cs="Times New Roman"/>
          <w:color w:val="2D3B45"/>
          <w:sz w:val="24"/>
          <w:szCs w:val="24"/>
          <w:highlight w:val="white"/>
        </w:rPr>
      </w:pPr>
    </w:p>
    <w:p w14:paraId="7B60F519" w14:textId="77777777" w:rsidR="00823895" w:rsidRDefault="00823895">
      <w:pPr>
        <w:rPr>
          <w:rFonts w:ascii="Times New Roman" w:eastAsia="Times New Roman" w:hAnsi="Times New Roman" w:cs="Times New Roman"/>
          <w:color w:val="2D3B45"/>
          <w:sz w:val="24"/>
          <w:szCs w:val="24"/>
          <w:highlight w:val="white"/>
        </w:rPr>
      </w:pPr>
    </w:p>
    <w:p w14:paraId="2BE47E21" w14:textId="77777777" w:rsidR="00823895" w:rsidRDefault="00823895">
      <w:pPr>
        <w:rPr>
          <w:rFonts w:ascii="Times New Roman" w:eastAsia="Times New Roman" w:hAnsi="Times New Roman" w:cs="Times New Roman"/>
          <w:color w:val="2D3B45"/>
          <w:sz w:val="24"/>
          <w:szCs w:val="24"/>
          <w:highlight w:val="white"/>
        </w:rPr>
      </w:pPr>
    </w:p>
    <w:p w14:paraId="3CA87568" w14:textId="77777777" w:rsidR="00823895" w:rsidRDefault="00823895">
      <w:pPr>
        <w:rPr>
          <w:rFonts w:ascii="Times New Roman" w:eastAsia="Times New Roman" w:hAnsi="Times New Roman" w:cs="Times New Roman"/>
          <w:color w:val="2D3B45"/>
          <w:sz w:val="24"/>
          <w:szCs w:val="24"/>
          <w:highlight w:val="white"/>
        </w:rPr>
      </w:pPr>
    </w:p>
    <w:p w14:paraId="74E8A8D4" w14:textId="77777777" w:rsidR="00823895" w:rsidRDefault="00823895">
      <w:pPr>
        <w:rPr>
          <w:rFonts w:ascii="Times New Roman" w:eastAsia="Times New Roman" w:hAnsi="Times New Roman" w:cs="Times New Roman"/>
          <w:color w:val="2D3B45"/>
          <w:sz w:val="24"/>
          <w:szCs w:val="24"/>
          <w:highlight w:val="white"/>
        </w:rPr>
      </w:pPr>
    </w:p>
    <w:p w14:paraId="06E0285F" w14:textId="77777777" w:rsidR="00823895" w:rsidRDefault="00823895">
      <w:pPr>
        <w:rPr>
          <w:rFonts w:ascii="Times New Roman" w:eastAsia="Times New Roman" w:hAnsi="Times New Roman" w:cs="Times New Roman"/>
          <w:color w:val="2D3B45"/>
          <w:sz w:val="24"/>
          <w:szCs w:val="24"/>
          <w:highlight w:val="white"/>
        </w:rPr>
      </w:pPr>
    </w:p>
    <w:p w14:paraId="77505798" w14:textId="77777777" w:rsidR="00C469F6" w:rsidRDefault="00BE4DF4">
      <w:pPr>
        <w:rPr>
          <w:rFonts w:ascii="Times New Roman" w:eastAsia="Times New Roman" w:hAnsi="Times New Roman" w:cs="Times New Roman"/>
          <w:color w:val="2F5496"/>
          <w:sz w:val="28"/>
          <w:szCs w:val="28"/>
        </w:rPr>
      </w:pPr>
      <w:r>
        <w:rPr>
          <w:rFonts w:ascii="Times New Roman" w:eastAsia="Times New Roman" w:hAnsi="Times New Roman" w:cs="Times New Roman"/>
          <w:color w:val="2F5496"/>
          <w:sz w:val="28"/>
          <w:szCs w:val="28"/>
        </w:rPr>
        <w:t xml:space="preserve">5. Task 3 </w:t>
      </w:r>
    </w:p>
    <w:p w14:paraId="603D4892" w14:textId="77777777" w:rsidR="00C469F6" w:rsidRDefault="00BE4DF4">
      <w:pPr>
        <w:rPr>
          <w:rFonts w:ascii="Times New Roman" w:eastAsia="Times New Roman" w:hAnsi="Times New Roman" w:cs="Times New Roman"/>
          <w:b/>
          <w:color w:val="2D3B45"/>
          <w:sz w:val="24"/>
          <w:szCs w:val="24"/>
          <w:u w:val="single"/>
        </w:rPr>
      </w:pPr>
      <w:r>
        <w:rPr>
          <w:rFonts w:ascii="Times New Roman" w:eastAsia="Times New Roman" w:hAnsi="Times New Roman" w:cs="Times New Roman"/>
          <w:color w:val="2F5496"/>
          <w:sz w:val="24"/>
          <w:szCs w:val="24"/>
        </w:rPr>
        <w:br/>
      </w:r>
      <w:r>
        <w:rPr>
          <w:rFonts w:ascii="Times New Roman" w:eastAsia="Times New Roman" w:hAnsi="Times New Roman" w:cs="Times New Roman"/>
          <w:b/>
          <w:color w:val="2D3B45"/>
          <w:sz w:val="24"/>
          <w:szCs w:val="24"/>
          <w:u w:val="single"/>
        </w:rPr>
        <w:t>Analysis Framework:</w:t>
      </w:r>
    </w:p>
    <w:p w14:paraId="25659B23" w14:textId="6079680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lastRenderedPageBreak/>
        <w:t>Based on the data and predictive models given, this analysis framework aims to simulate Emily's financial trajectory, incorporating inflation, expenses, income, contributions, and investment returns.</w:t>
      </w:r>
    </w:p>
    <w:p w14:paraId="45FD4589" w14:textId="77777777" w:rsidR="00C469F6" w:rsidRDefault="00BE4DF4">
      <w:pPr>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Inflation Assumptions</w:t>
      </w:r>
    </w:p>
    <w:p w14:paraId="20617EF9"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To estimate future inflation, we excluded the unusual economic impacts of COVID-19 (2021-2023) and focused on inflation rates from 2010 to 2024. Using this period, we calculated the mean inflation rate as 1.69% and the standard deviation as 1.19%. To account for potential variability, the NORM.INV function was applied to simulate inflation rates over the next 1,000 years, producing an average rate used to project future inflation trends.</w:t>
      </w:r>
    </w:p>
    <w:p w14:paraId="5750E701" w14:textId="77777777" w:rsidR="00C469F6" w:rsidRDefault="00BE4DF4">
      <w:pPr>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Expense Projections</w:t>
      </w:r>
    </w:p>
    <w:p w14:paraId="55BAF551"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To estimate Emily's annual household expenses, we calculated her weekly expenses based on her lifestyle with one dependent, amounting to NZD 1,110.10 per week. Multiplying by the number of 52 weeks in a year, the annual expense was derived as NZD 53,284.80. This amount is then adjusted annually using the simulated inflation rate, which illustrates her escalating household expenses over time.</w:t>
      </w:r>
    </w:p>
    <w:p w14:paraId="00620A1C" w14:textId="77777777" w:rsidR="00C469F6" w:rsidRDefault="00BE4DF4">
      <w:pPr>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Income</w:t>
      </w:r>
    </w:p>
    <w:p w14:paraId="4C2A73F1" w14:textId="413558A0"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The calculation of Emily's salary growth begins at age 31. Using the NORM.INV function, a probability </w:t>
      </w:r>
      <w:r w:rsidR="00823895">
        <w:rPr>
          <w:rFonts w:ascii="Times New Roman" w:eastAsia="Times New Roman" w:hAnsi="Times New Roman" w:cs="Times New Roman"/>
          <w:color w:val="2D3B45"/>
          <w:sz w:val="24"/>
          <w:szCs w:val="24"/>
          <w:highlight w:val="white"/>
        </w:rPr>
        <w:t>ranges</w:t>
      </w:r>
      <w:r>
        <w:rPr>
          <w:rFonts w:ascii="Times New Roman" w:eastAsia="Times New Roman" w:hAnsi="Times New Roman" w:cs="Times New Roman"/>
          <w:color w:val="2D3B45"/>
          <w:sz w:val="24"/>
          <w:szCs w:val="24"/>
          <w:highlight w:val="white"/>
        </w:rPr>
        <w:t xml:space="preserve"> from 0 to 1 is applied with a mean salary growth rate of 3.5% and a standard deviation of 0.7%.</w:t>
      </w:r>
    </w:p>
    <w:p w14:paraId="13AEBEFE"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Contributions</w:t>
      </w:r>
    </w:p>
    <w:p w14:paraId="31E1E15A"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The total contributions to Emily's superannuation fund are calculated by summing both Emily's personal contributions and her employer's contributions. And it has been suggested to increase the personal contribution in proportion to the salary increase over the years. </w:t>
      </w:r>
    </w:p>
    <w:p w14:paraId="418F13AF" w14:textId="77777777" w:rsidR="00C469F6" w:rsidRDefault="00BE4DF4">
      <w:pPr>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Fund Allocation and Returns</w:t>
      </w:r>
    </w:p>
    <w:p w14:paraId="28F3002F"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For each type of fund (stable, hybrid, and sky-high), the NORM.INV function is again used to simulate potential returns based on fund performance and risk factors. The total return is calculated by summing the returns from all three fund types. At age 31, the previous year's return is added to the new year's contribution, and the process is repeated annually to model the cumulative growth of Emily's superannuation fund and adjusted to the percentage proposed.</w:t>
      </w:r>
    </w:p>
    <w:p w14:paraId="0D5ADC3A" w14:textId="2C98B221" w:rsidR="00C469F6" w:rsidRDefault="00BE4DF4">
      <w:pPr>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Emergency Fund</w:t>
      </w:r>
    </w:p>
    <w:p w14:paraId="71BF45AE"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Emergency funds are calculated by subtracting the yearly Expenses from salary and the annual employee's contribution to the superannuation fund.</w:t>
      </w:r>
    </w:p>
    <w:p w14:paraId="51E10F48" w14:textId="77777777" w:rsidR="00C469F6" w:rsidRDefault="00BE4DF4">
      <w:pPr>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 xml:space="preserve">Re-investing Superannuation fund after the age 65: </w:t>
      </w:r>
    </w:p>
    <w:p w14:paraId="42142CBA" w14:textId="77777777" w:rsidR="00C469F6" w:rsidRDefault="00BE4DF4">
      <w:pPr>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After age 65, the entire superannuation fund will be reallocated to a Stable Fund, with withdrawals made only to cover the necessary annual expenses. This reduces the annual expenses deducted from the total superannuation balance. To assess the sustainability of this </w:t>
      </w:r>
      <w:r>
        <w:rPr>
          <w:rFonts w:ascii="Times New Roman" w:eastAsia="Times New Roman" w:hAnsi="Times New Roman" w:cs="Times New Roman"/>
          <w:color w:val="2D3B45"/>
          <w:sz w:val="24"/>
          <w:szCs w:val="24"/>
          <w:highlight w:val="white"/>
        </w:rPr>
        <w:lastRenderedPageBreak/>
        <w:t>strategy, 1,000 simulations are performed to determine the average fund balance at age 82. The results show that the superannuation fund is expected to have an average balance of NZD 100,000 by that time.</w:t>
      </w:r>
    </w:p>
    <w:p w14:paraId="1B04A0CE" w14:textId="77777777" w:rsidR="00C469F6" w:rsidRDefault="00BE4DF4">
      <w:pPr>
        <w:spacing w:after="240" w:line="360" w:lineRule="auto"/>
        <w:ind w:right="-3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To optimize Emily's superannuation strategy, the following recommendations are made.        </w:t>
      </w:r>
    </w:p>
    <w:p w14:paraId="1B99D262" w14:textId="77777777" w:rsidR="00C469F6" w:rsidRDefault="00BE4DF4">
      <w:pPr>
        <w:numPr>
          <w:ilvl w:val="0"/>
          <w:numId w:val="2"/>
        </w:numPr>
        <w:spacing w:after="0" w:line="240" w:lineRule="auto"/>
        <w:ind w:right="-3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Increase Contributions Early</w:t>
      </w:r>
      <w:r>
        <w:rPr>
          <w:rFonts w:ascii="Times New Roman" w:eastAsia="Times New Roman" w:hAnsi="Times New Roman" w:cs="Times New Roman"/>
          <w:color w:val="2D3B45"/>
          <w:sz w:val="24"/>
          <w:szCs w:val="24"/>
          <w:highlight w:val="white"/>
        </w:rPr>
        <w:t>: Raising contributions from 3% to 5% in her early 30s maximize employer matching and accelerates fund growth through compounding returns.</w:t>
      </w:r>
    </w:p>
    <w:p w14:paraId="7728C161" w14:textId="77777777" w:rsidR="00C469F6" w:rsidRDefault="00BE4DF4">
      <w:pPr>
        <w:numPr>
          <w:ilvl w:val="0"/>
          <w:numId w:val="2"/>
        </w:numPr>
        <w:spacing w:after="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Regular Portfolio Reviews:</w:t>
      </w:r>
      <w:r>
        <w:rPr>
          <w:rFonts w:ascii="Times New Roman" w:eastAsia="Times New Roman" w:hAnsi="Times New Roman" w:cs="Times New Roman"/>
          <w:color w:val="2D3B45"/>
          <w:sz w:val="24"/>
          <w:szCs w:val="24"/>
          <w:highlight w:val="white"/>
        </w:rPr>
        <w:t xml:space="preserve"> Conducting reviews every 3–5 years ensures allocations remain aligned with Emily's evolving financial priorities and market conditions.</w:t>
      </w:r>
    </w:p>
    <w:p w14:paraId="718FA6E3" w14:textId="77777777" w:rsidR="00C469F6" w:rsidRDefault="00BE4DF4">
      <w:pPr>
        <w:numPr>
          <w:ilvl w:val="0"/>
          <w:numId w:val="2"/>
        </w:numPr>
        <w:spacing w:after="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 xml:space="preserve">Post-Retirement Strategy: </w:t>
      </w:r>
      <w:r>
        <w:rPr>
          <w:rFonts w:ascii="Times New Roman" w:eastAsia="Times New Roman" w:hAnsi="Times New Roman" w:cs="Times New Roman"/>
          <w:color w:val="2D3B45"/>
          <w:sz w:val="24"/>
          <w:szCs w:val="24"/>
          <w:highlight w:val="white"/>
        </w:rPr>
        <w:t>Allocating 100% of her superannuation to Stable Bonds after retirement minimizes exposure to market volatility. This conservative strategy ensures consistent returns to support annual withdrawals.</w:t>
      </w:r>
    </w:p>
    <w:p w14:paraId="2F024E06" w14:textId="77777777" w:rsidR="00C469F6" w:rsidRDefault="00BE4DF4">
      <w:pPr>
        <w:numPr>
          <w:ilvl w:val="0"/>
          <w:numId w:val="2"/>
        </w:numPr>
        <w:spacing w:after="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b/>
          <w:color w:val="2D3B45"/>
          <w:sz w:val="24"/>
          <w:szCs w:val="24"/>
          <w:highlight w:val="white"/>
        </w:rPr>
        <w:t>Emergency Fund Allocation:</w:t>
      </w:r>
      <w:r>
        <w:rPr>
          <w:rFonts w:ascii="Times New Roman" w:eastAsia="Times New Roman" w:hAnsi="Times New Roman" w:cs="Times New Roman"/>
          <w:color w:val="2D3B45"/>
          <w:sz w:val="24"/>
          <w:szCs w:val="24"/>
          <w:highlight w:val="white"/>
        </w:rPr>
        <w:t xml:space="preserve"> Since an emergency fund is typically meant to cover unforeseen expenses, the strategy for growing this fund should balance safety with growth, ensuring liquidity while avoiding unnecessary risk. Reviewing her emergency fund allocation regularly and diversifying by investing in precious metals, short-term bonds, and high-interest savings accounts.</w:t>
      </w:r>
    </w:p>
    <w:p w14:paraId="067803E4" w14:textId="77777777" w:rsidR="00C469F6" w:rsidRDefault="00C469F6">
      <w:pPr>
        <w:spacing w:after="0"/>
        <w:rPr>
          <w:rFonts w:ascii="Times New Roman" w:eastAsia="Times New Roman" w:hAnsi="Times New Roman" w:cs="Times New Roman"/>
          <w:color w:val="2D3B45"/>
          <w:sz w:val="24"/>
          <w:szCs w:val="24"/>
          <w:highlight w:val="white"/>
        </w:rPr>
      </w:pPr>
    </w:p>
    <w:p w14:paraId="4539EEC9" w14:textId="77777777" w:rsidR="00C469F6" w:rsidRDefault="00BE4DF4">
      <w:pPr>
        <w:rPr>
          <w:rFonts w:ascii="Times New Roman" w:eastAsia="Times New Roman" w:hAnsi="Times New Roman" w:cs="Times New Roman"/>
          <w:color w:val="2F5496"/>
          <w:sz w:val="28"/>
          <w:szCs w:val="28"/>
        </w:rPr>
      </w:pPr>
      <w:r>
        <w:rPr>
          <w:rFonts w:ascii="Times New Roman" w:eastAsia="Times New Roman" w:hAnsi="Times New Roman" w:cs="Times New Roman"/>
          <w:color w:val="2F5496"/>
          <w:sz w:val="28"/>
          <w:szCs w:val="28"/>
        </w:rPr>
        <w:t xml:space="preserve">6. Conclusion </w:t>
      </w:r>
    </w:p>
    <w:p w14:paraId="5A8A6E42" w14:textId="77777777" w:rsidR="00C469F6" w:rsidRDefault="00BE4DF4">
      <w:pPr>
        <w:rPr>
          <w:rFonts w:ascii="Times New Roman" w:eastAsia="Times New Roman" w:hAnsi="Times New Roman" w:cs="Times New Roman"/>
          <w:color w:val="2D3B45"/>
          <w:sz w:val="20"/>
          <w:szCs w:val="20"/>
          <w:highlight w:val="white"/>
        </w:rPr>
      </w:pPr>
      <w:r>
        <w:rPr>
          <w:rFonts w:ascii="Times New Roman" w:eastAsia="Times New Roman" w:hAnsi="Times New Roman" w:cs="Times New Roman"/>
          <w:color w:val="2D3B45"/>
          <w:sz w:val="24"/>
          <w:szCs w:val="24"/>
          <w:highlight w:val="white"/>
        </w:rPr>
        <w:t xml:space="preserve">Emily's superannuation strategy is well-structured to achieve her retirement goal of NZD 1.9 million by age 65, with an emergency fund of NZD 2.7 million. With increasing contributions over time, her diversified investment approach ensures growth and stability. However, to secure sufficient funds for a comfortable retirement, it is recommended that she allocate </w:t>
      </w:r>
      <w:proofErr w:type="gramStart"/>
      <w:r>
        <w:rPr>
          <w:rFonts w:ascii="Times New Roman" w:eastAsia="Times New Roman" w:hAnsi="Times New Roman" w:cs="Times New Roman"/>
          <w:color w:val="2D3B45"/>
          <w:sz w:val="24"/>
          <w:szCs w:val="24"/>
          <w:highlight w:val="white"/>
        </w:rPr>
        <w:t>the majority of</w:t>
      </w:r>
      <w:proofErr w:type="gramEnd"/>
      <w:r>
        <w:rPr>
          <w:rFonts w:ascii="Times New Roman" w:eastAsia="Times New Roman" w:hAnsi="Times New Roman" w:cs="Times New Roman"/>
          <w:color w:val="2D3B45"/>
          <w:sz w:val="24"/>
          <w:szCs w:val="24"/>
          <w:highlight w:val="white"/>
        </w:rPr>
        <w:t xml:space="preserve"> her superannuation into a low-risk, stable fund post-retirement. This will ensure her funds last throughout her retirement, providing financial security and peace of mind well into her 80s.</w:t>
      </w:r>
      <w:r>
        <w:rPr>
          <w:rFonts w:ascii="Times New Roman" w:eastAsia="Times New Roman" w:hAnsi="Times New Roman" w:cs="Times New Roman"/>
          <w:color w:val="2D3B45"/>
          <w:sz w:val="20"/>
          <w:szCs w:val="20"/>
          <w:highlight w:val="white"/>
        </w:rPr>
        <w:br/>
      </w:r>
    </w:p>
    <w:p w14:paraId="0BB4C0A2" w14:textId="77777777" w:rsidR="00C469F6" w:rsidRDefault="00C469F6">
      <w:pPr>
        <w:rPr>
          <w:rFonts w:ascii="Times New Roman" w:eastAsia="Times New Roman" w:hAnsi="Times New Roman" w:cs="Times New Roman"/>
          <w:color w:val="2D3B45"/>
          <w:sz w:val="20"/>
          <w:szCs w:val="20"/>
          <w:highlight w:val="white"/>
        </w:rPr>
      </w:pPr>
    </w:p>
    <w:p w14:paraId="304EB47C" w14:textId="77777777" w:rsidR="00C469F6" w:rsidRDefault="00C469F6">
      <w:pPr>
        <w:rPr>
          <w:rFonts w:ascii="Times New Roman" w:eastAsia="Times New Roman" w:hAnsi="Times New Roman" w:cs="Times New Roman"/>
          <w:color w:val="2D3B45"/>
          <w:sz w:val="20"/>
          <w:szCs w:val="20"/>
          <w:highlight w:val="white"/>
        </w:rPr>
      </w:pPr>
    </w:p>
    <w:p w14:paraId="566EC446" w14:textId="77777777" w:rsidR="00C469F6" w:rsidRDefault="00C469F6">
      <w:pPr>
        <w:rPr>
          <w:rFonts w:ascii="Times New Roman" w:eastAsia="Times New Roman" w:hAnsi="Times New Roman" w:cs="Times New Roman"/>
          <w:color w:val="2D3B45"/>
          <w:sz w:val="20"/>
          <w:szCs w:val="20"/>
          <w:highlight w:val="white"/>
        </w:rPr>
      </w:pPr>
    </w:p>
    <w:p w14:paraId="726C995A" w14:textId="77777777" w:rsidR="00C469F6" w:rsidRDefault="00C469F6">
      <w:pPr>
        <w:rPr>
          <w:rFonts w:ascii="Times New Roman" w:eastAsia="Times New Roman" w:hAnsi="Times New Roman" w:cs="Times New Roman"/>
          <w:color w:val="2D3B45"/>
          <w:sz w:val="20"/>
          <w:szCs w:val="20"/>
          <w:highlight w:val="white"/>
        </w:rPr>
      </w:pPr>
    </w:p>
    <w:p w14:paraId="4B440F6D" w14:textId="77777777" w:rsidR="00C469F6" w:rsidRDefault="00C469F6">
      <w:pPr>
        <w:rPr>
          <w:rFonts w:ascii="Times New Roman" w:eastAsia="Times New Roman" w:hAnsi="Times New Roman" w:cs="Times New Roman"/>
          <w:color w:val="2D3B45"/>
          <w:sz w:val="20"/>
          <w:szCs w:val="20"/>
          <w:highlight w:val="white"/>
        </w:rPr>
      </w:pPr>
    </w:p>
    <w:p w14:paraId="0D109AA6" w14:textId="77777777" w:rsidR="00C469F6" w:rsidRDefault="00C469F6">
      <w:pPr>
        <w:rPr>
          <w:rFonts w:ascii="Times New Roman" w:eastAsia="Times New Roman" w:hAnsi="Times New Roman" w:cs="Times New Roman"/>
          <w:color w:val="2D3B45"/>
          <w:sz w:val="20"/>
          <w:szCs w:val="20"/>
          <w:highlight w:val="white"/>
        </w:rPr>
      </w:pPr>
    </w:p>
    <w:p w14:paraId="510981CF" w14:textId="77777777" w:rsidR="00C469F6" w:rsidRDefault="00C469F6">
      <w:pPr>
        <w:rPr>
          <w:rFonts w:ascii="Times New Roman" w:eastAsia="Times New Roman" w:hAnsi="Times New Roman" w:cs="Times New Roman"/>
          <w:color w:val="2D3B45"/>
          <w:sz w:val="20"/>
          <w:szCs w:val="20"/>
          <w:highlight w:val="white"/>
        </w:rPr>
      </w:pPr>
    </w:p>
    <w:p w14:paraId="51C211E3" w14:textId="77777777" w:rsidR="00C469F6" w:rsidRDefault="00C469F6">
      <w:pPr>
        <w:rPr>
          <w:rFonts w:ascii="Times New Roman" w:eastAsia="Times New Roman" w:hAnsi="Times New Roman" w:cs="Times New Roman"/>
          <w:color w:val="2D3B45"/>
          <w:sz w:val="20"/>
          <w:szCs w:val="20"/>
          <w:highlight w:val="white"/>
        </w:rPr>
      </w:pPr>
    </w:p>
    <w:p w14:paraId="1D3513EC" w14:textId="77777777" w:rsidR="00C469F6" w:rsidRDefault="00BE4DF4">
      <w:pPr>
        <w:rPr>
          <w:rFonts w:ascii="Times New Roman" w:eastAsia="Times New Roman" w:hAnsi="Times New Roman" w:cs="Times New Roman"/>
          <w:color w:val="2D3B45"/>
          <w:sz w:val="20"/>
          <w:szCs w:val="20"/>
          <w:highlight w:val="white"/>
        </w:rPr>
      </w:pPr>
      <w:r>
        <w:rPr>
          <w:rFonts w:ascii="Times New Roman" w:eastAsia="Times New Roman" w:hAnsi="Times New Roman" w:cs="Times New Roman"/>
          <w:color w:val="2D3B45"/>
          <w:sz w:val="28"/>
          <w:szCs w:val="28"/>
          <w:highlight w:val="white"/>
        </w:rPr>
        <w:t xml:space="preserve">7. </w:t>
      </w:r>
      <w:r>
        <w:rPr>
          <w:rFonts w:ascii="Times New Roman" w:eastAsia="Times New Roman" w:hAnsi="Times New Roman" w:cs="Times New Roman"/>
          <w:color w:val="2F5496"/>
          <w:sz w:val="28"/>
          <w:szCs w:val="28"/>
        </w:rPr>
        <w:t>References</w:t>
      </w:r>
      <w:r>
        <w:rPr>
          <w:rFonts w:ascii="Times New Roman" w:eastAsia="Times New Roman" w:hAnsi="Times New Roman" w:cs="Times New Roman"/>
          <w:color w:val="2F5496"/>
          <w:sz w:val="32"/>
          <w:szCs w:val="32"/>
        </w:rPr>
        <w:br/>
      </w:r>
    </w:p>
    <w:p w14:paraId="184A1223" w14:textId="77777777" w:rsidR="00C469F6" w:rsidRDefault="00BE4DF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300"/>
        <w:ind w:left="720"/>
        <w:rPr>
          <w:rFonts w:ascii="Times New Roman" w:eastAsia="Times New Roman" w:hAnsi="Times New Roman" w:cs="Times New Roman"/>
          <w:color w:val="1155CC"/>
          <w:sz w:val="24"/>
          <w:szCs w:val="24"/>
        </w:rPr>
      </w:pPr>
      <w:r>
        <w:rPr>
          <w:rFonts w:ascii="Times New Roman" w:eastAsia="Times New Roman" w:hAnsi="Times New Roman" w:cs="Times New Roman"/>
          <w:color w:val="0D0D0D"/>
          <w:sz w:val="24"/>
          <w:szCs w:val="24"/>
        </w:rPr>
        <w:lastRenderedPageBreak/>
        <w:t xml:space="preserve">Financial Industry Regulatory Authority (FINRA). (n.d.). </w:t>
      </w:r>
      <w:r>
        <w:rPr>
          <w:rFonts w:ascii="Times New Roman" w:eastAsia="Times New Roman" w:hAnsi="Times New Roman" w:cs="Times New Roman"/>
          <w:i/>
          <w:color w:val="0D0D0D"/>
          <w:sz w:val="24"/>
          <w:szCs w:val="24"/>
        </w:rPr>
        <w:t>Retirement calculator</w:t>
      </w:r>
      <w:r>
        <w:rPr>
          <w:rFonts w:ascii="Times New Roman" w:eastAsia="Times New Roman" w:hAnsi="Times New Roman" w:cs="Times New Roman"/>
          <w:color w:val="0D0D0D"/>
          <w:sz w:val="24"/>
          <w:szCs w:val="24"/>
        </w:rPr>
        <w:t xml:space="preserve">. Retirement Calculator. Retrieved November 28, 2024, from </w:t>
      </w:r>
      <w:hyperlink r:id="rId10">
        <w:r>
          <w:rPr>
            <w:rFonts w:ascii="Times New Roman" w:eastAsia="Times New Roman" w:hAnsi="Times New Roman" w:cs="Times New Roman"/>
            <w:color w:val="1155CC"/>
            <w:sz w:val="24"/>
            <w:szCs w:val="24"/>
          </w:rPr>
          <w:t>https://retirementcalculator.nga.finra.org/calculator/</w:t>
        </w:r>
      </w:hyperlink>
    </w:p>
    <w:p w14:paraId="6CA6948A" w14:textId="77777777" w:rsidR="00C469F6" w:rsidRDefault="00BE4DF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300"/>
        <w:ind w:left="720"/>
        <w:rPr>
          <w:rFonts w:ascii="Times New Roman" w:eastAsia="Times New Roman" w:hAnsi="Times New Roman" w:cs="Times New Roman"/>
          <w:color w:val="1155CC"/>
          <w:sz w:val="24"/>
          <w:szCs w:val="24"/>
        </w:rPr>
      </w:pPr>
      <w:r>
        <w:rPr>
          <w:rFonts w:ascii="Times New Roman" w:eastAsia="Times New Roman" w:hAnsi="Times New Roman" w:cs="Times New Roman"/>
          <w:color w:val="0D0D0D"/>
          <w:sz w:val="24"/>
          <w:szCs w:val="24"/>
        </w:rPr>
        <w:t xml:space="preserve">New Zealand Government. (n.d.). </w:t>
      </w:r>
      <w:r>
        <w:rPr>
          <w:rFonts w:ascii="Times New Roman" w:eastAsia="Times New Roman" w:hAnsi="Times New Roman" w:cs="Times New Roman"/>
          <w:i/>
          <w:color w:val="0D0D0D"/>
          <w:sz w:val="24"/>
          <w:szCs w:val="24"/>
        </w:rPr>
        <w:t>Cost of living in New Zealand</w:t>
      </w:r>
      <w:r>
        <w:rPr>
          <w:rFonts w:ascii="Times New Roman" w:eastAsia="Times New Roman" w:hAnsi="Times New Roman" w:cs="Times New Roman"/>
          <w:color w:val="0D0D0D"/>
          <w:sz w:val="24"/>
          <w:szCs w:val="24"/>
        </w:rPr>
        <w:t xml:space="preserve">. Live &amp; work in New Zealand. Retrieved November 28, 2024, from </w:t>
      </w:r>
      <w:hyperlink r:id="rId11">
        <w:r>
          <w:rPr>
            <w:rFonts w:ascii="Times New Roman" w:eastAsia="Times New Roman" w:hAnsi="Times New Roman" w:cs="Times New Roman"/>
            <w:color w:val="1155CC"/>
            <w:sz w:val="24"/>
            <w:szCs w:val="24"/>
          </w:rPr>
          <w:t>https://www.live-work.immigration.govt.nz/live-in-new-zealand/money-tax/cost-of-living-in-new-zealand</w:t>
        </w:r>
      </w:hyperlink>
    </w:p>
    <w:p w14:paraId="4D9D6B71" w14:textId="77777777" w:rsidR="00C469F6" w:rsidRDefault="00BE4DF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300"/>
        <w:ind w:left="720"/>
        <w:rPr>
          <w:rFonts w:ascii="Times New Roman" w:eastAsia="Times New Roman" w:hAnsi="Times New Roman" w:cs="Times New Roman"/>
          <w:color w:val="1155CC"/>
          <w:sz w:val="24"/>
          <w:szCs w:val="24"/>
        </w:rPr>
      </w:pPr>
      <w:r>
        <w:rPr>
          <w:rFonts w:ascii="Times New Roman" w:eastAsia="Times New Roman" w:hAnsi="Times New Roman" w:cs="Times New Roman"/>
          <w:color w:val="0D0D0D"/>
          <w:sz w:val="24"/>
          <w:szCs w:val="24"/>
        </w:rPr>
        <w:t xml:space="preserve">New Zealand Government. (2023). </w:t>
      </w:r>
      <w:r>
        <w:rPr>
          <w:rFonts w:ascii="Times New Roman" w:eastAsia="Times New Roman" w:hAnsi="Times New Roman" w:cs="Times New Roman"/>
          <w:i/>
          <w:color w:val="0D0D0D"/>
          <w:sz w:val="24"/>
          <w:szCs w:val="24"/>
        </w:rPr>
        <w:t>Household expenditure statistics: Year ended June 2023</w:t>
      </w:r>
      <w:r>
        <w:rPr>
          <w:rFonts w:ascii="Times New Roman" w:eastAsia="Times New Roman" w:hAnsi="Times New Roman" w:cs="Times New Roman"/>
          <w:color w:val="0D0D0D"/>
          <w:sz w:val="24"/>
          <w:szCs w:val="24"/>
        </w:rPr>
        <w:t xml:space="preserve">. Statistics New Zealand. Retrieved November 28, 2024, from </w:t>
      </w:r>
      <w:hyperlink r:id="rId12">
        <w:r>
          <w:rPr>
            <w:rFonts w:ascii="Times New Roman" w:eastAsia="Times New Roman" w:hAnsi="Times New Roman" w:cs="Times New Roman"/>
            <w:color w:val="1155CC"/>
            <w:sz w:val="24"/>
            <w:szCs w:val="24"/>
          </w:rPr>
          <w:t>https://www.stats.govt.nz/assets/Uploads/Household-expenditure-statistics/Household-expenditure-statistics-Year-ended-June-2023/Download-data/household-expenditure-statistics-year-ended-june-2023-updated.xlsx</w:t>
        </w:r>
      </w:hyperlink>
    </w:p>
    <w:p w14:paraId="2B2FAAE3" w14:textId="77777777" w:rsidR="00C469F6" w:rsidRDefault="00BE4DF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300"/>
        <w:ind w:left="720"/>
        <w:rPr>
          <w:rFonts w:ascii="Times New Roman" w:eastAsia="Times New Roman" w:hAnsi="Times New Roman" w:cs="Times New Roman"/>
          <w:color w:val="1155CC"/>
          <w:sz w:val="24"/>
          <w:szCs w:val="24"/>
        </w:rPr>
      </w:pPr>
      <w:r>
        <w:rPr>
          <w:rFonts w:ascii="Times New Roman" w:eastAsia="Times New Roman" w:hAnsi="Times New Roman" w:cs="Times New Roman"/>
          <w:color w:val="0D0D0D"/>
          <w:sz w:val="24"/>
          <w:szCs w:val="24"/>
        </w:rPr>
        <w:t xml:space="preserve">Reserve Bank of New Zealand. (n.d.). </w:t>
      </w:r>
      <w:r>
        <w:rPr>
          <w:rFonts w:ascii="Times New Roman" w:eastAsia="Times New Roman" w:hAnsi="Times New Roman" w:cs="Times New Roman"/>
          <w:i/>
          <w:color w:val="0D0D0D"/>
          <w:sz w:val="24"/>
          <w:szCs w:val="24"/>
        </w:rPr>
        <w:t>Inflation</w:t>
      </w:r>
      <w:r>
        <w:rPr>
          <w:rFonts w:ascii="Times New Roman" w:eastAsia="Times New Roman" w:hAnsi="Times New Roman" w:cs="Times New Roman"/>
          <w:color w:val="0D0D0D"/>
          <w:sz w:val="24"/>
          <w:szCs w:val="24"/>
        </w:rPr>
        <w:t xml:space="preserve">. </w:t>
      </w:r>
      <w:proofErr w:type="spellStart"/>
      <w:r>
        <w:rPr>
          <w:rFonts w:ascii="Times New Roman" w:eastAsia="Times New Roman" w:hAnsi="Times New Roman" w:cs="Times New Roman"/>
          <w:color w:val="0D0D0D"/>
          <w:sz w:val="24"/>
          <w:szCs w:val="24"/>
        </w:rPr>
        <w:t>Te</w:t>
      </w:r>
      <w:proofErr w:type="spellEnd"/>
      <w:r>
        <w:rPr>
          <w:rFonts w:ascii="Times New Roman" w:eastAsia="Times New Roman" w:hAnsi="Times New Roman" w:cs="Times New Roman"/>
          <w:color w:val="0D0D0D"/>
          <w:sz w:val="24"/>
          <w:szCs w:val="24"/>
        </w:rPr>
        <w:t xml:space="preserve"> </w:t>
      </w:r>
      <w:proofErr w:type="spellStart"/>
      <w:r>
        <w:rPr>
          <w:rFonts w:ascii="Times New Roman" w:eastAsia="Times New Roman" w:hAnsi="Times New Roman" w:cs="Times New Roman"/>
          <w:color w:val="0D0D0D"/>
          <w:sz w:val="24"/>
          <w:szCs w:val="24"/>
        </w:rPr>
        <w:t>Pūtea</w:t>
      </w:r>
      <w:proofErr w:type="spellEnd"/>
      <w:r>
        <w:rPr>
          <w:rFonts w:ascii="Times New Roman" w:eastAsia="Times New Roman" w:hAnsi="Times New Roman" w:cs="Times New Roman"/>
          <w:color w:val="0D0D0D"/>
          <w:sz w:val="24"/>
          <w:szCs w:val="24"/>
        </w:rPr>
        <w:t xml:space="preserve"> Matua. Retrieved November 28, 2024, from </w:t>
      </w:r>
      <w:hyperlink r:id="rId13">
        <w:r>
          <w:rPr>
            <w:rFonts w:ascii="Times New Roman" w:eastAsia="Times New Roman" w:hAnsi="Times New Roman" w:cs="Times New Roman"/>
            <w:color w:val="1155CC"/>
            <w:sz w:val="24"/>
            <w:szCs w:val="24"/>
          </w:rPr>
          <w:t>https://www.rbnz.govt.nz/monetary-policy/inflation</w:t>
        </w:r>
      </w:hyperlink>
    </w:p>
    <w:p w14:paraId="5EBBA253" w14:textId="77777777" w:rsidR="00C469F6" w:rsidRDefault="00BE4DF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300"/>
        <w:ind w:left="720"/>
        <w:rPr>
          <w:rFonts w:ascii="Times New Roman" w:eastAsia="Times New Roman" w:hAnsi="Times New Roman" w:cs="Times New Roman"/>
          <w:color w:val="1155CC"/>
          <w:sz w:val="24"/>
          <w:szCs w:val="24"/>
        </w:rPr>
      </w:pPr>
      <w:r>
        <w:rPr>
          <w:rFonts w:ascii="Times New Roman" w:eastAsia="Times New Roman" w:hAnsi="Times New Roman" w:cs="Times New Roman"/>
          <w:color w:val="0D0D0D"/>
          <w:sz w:val="24"/>
          <w:szCs w:val="24"/>
        </w:rPr>
        <w:t xml:space="preserve">New Zealand Government. (n.d.). </w:t>
      </w:r>
      <w:r>
        <w:rPr>
          <w:rFonts w:ascii="Times New Roman" w:eastAsia="Times New Roman" w:hAnsi="Times New Roman" w:cs="Times New Roman"/>
          <w:i/>
          <w:color w:val="0D0D0D"/>
          <w:sz w:val="24"/>
          <w:szCs w:val="24"/>
        </w:rPr>
        <w:t>Employer contributions to KiwiSaver and complying funds</w:t>
      </w:r>
      <w:r>
        <w:rPr>
          <w:rFonts w:ascii="Times New Roman" w:eastAsia="Times New Roman" w:hAnsi="Times New Roman" w:cs="Times New Roman"/>
          <w:color w:val="0D0D0D"/>
          <w:sz w:val="24"/>
          <w:szCs w:val="24"/>
        </w:rPr>
        <w:t xml:space="preserve">. Inland Revenue Department. Retrieved November 28, 2024, from </w:t>
      </w:r>
      <w:hyperlink r:id="rId14">
        <w:r>
          <w:rPr>
            <w:rFonts w:ascii="Times New Roman" w:eastAsia="Times New Roman" w:hAnsi="Times New Roman" w:cs="Times New Roman"/>
            <w:color w:val="1155CC"/>
            <w:sz w:val="24"/>
            <w:szCs w:val="24"/>
          </w:rPr>
          <w:t>https://www.ird.govt.nz/kiwisaver/kiwisaver-employers/contributions-and-deductions/employer-contributions-to-kiwisaver-and-complying-funds</w:t>
        </w:r>
      </w:hyperlink>
    </w:p>
    <w:p w14:paraId="5F4F3E84" w14:textId="77777777" w:rsidR="00C469F6" w:rsidRDefault="00BE4DF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300"/>
        <w:ind w:left="720"/>
        <w:rPr>
          <w:rFonts w:ascii="Times New Roman" w:eastAsia="Times New Roman" w:hAnsi="Times New Roman" w:cs="Times New Roman"/>
          <w:color w:val="1155CC"/>
          <w:sz w:val="24"/>
          <w:szCs w:val="24"/>
        </w:rPr>
      </w:pPr>
      <w:r>
        <w:rPr>
          <w:rFonts w:ascii="Times New Roman" w:eastAsia="Times New Roman" w:hAnsi="Times New Roman" w:cs="Times New Roman"/>
          <w:color w:val="0D0D0D"/>
          <w:sz w:val="24"/>
          <w:szCs w:val="24"/>
        </w:rPr>
        <w:t xml:space="preserve">Federal Reserve Economic Data (FRED). (n.d.). </w:t>
      </w:r>
      <w:r>
        <w:rPr>
          <w:rFonts w:ascii="Times New Roman" w:eastAsia="Times New Roman" w:hAnsi="Times New Roman" w:cs="Times New Roman"/>
          <w:i/>
          <w:color w:val="0D0D0D"/>
          <w:sz w:val="24"/>
          <w:szCs w:val="24"/>
        </w:rPr>
        <w:t>Interest rates, long-term (in percent)</w:t>
      </w:r>
      <w:r>
        <w:rPr>
          <w:rFonts w:ascii="Times New Roman" w:eastAsia="Times New Roman" w:hAnsi="Times New Roman" w:cs="Times New Roman"/>
          <w:color w:val="0D0D0D"/>
          <w:sz w:val="24"/>
          <w:szCs w:val="24"/>
        </w:rPr>
        <w:t xml:space="preserve">. Federal Reserve Bank of St. Louis. Retrieved November 28, 2024, from </w:t>
      </w:r>
      <w:hyperlink r:id="rId15">
        <w:r>
          <w:rPr>
            <w:rFonts w:ascii="Times New Roman" w:eastAsia="Times New Roman" w:hAnsi="Times New Roman" w:cs="Times New Roman"/>
            <w:color w:val="1155CC"/>
            <w:sz w:val="24"/>
            <w:szCs w:val="24"/>
          </w:rPr>
          <w:t>https://fred.stlouisfed.org/series/IRLTLT01NZM156N</w:t>
        </w:r>
      </w:hyperlink>
    </w:p>
    <w:p w14:paraId="7E1E2B29" w14:textId="77777777" w:rsidR="00C469F6" w:rsidRDefault="00BE4DF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300"/>
        <w:ind w:left="720"/>
        <w:rPr>
          <w:rFonts w:ascii="Times New Roman" w:eastAsia="Times New Roman" w:hAnsi="Times New Roman" w:cs="Times New Roman"/>
          <w:color w:val="1155CC"/>
          <w:sz w:val="24"/>
          <w:szCs w:val="24"/>
        </w:rPr>
      </w:pPr>
      <w:r>
        <w:rPr>
          <w:rFonts w:ascii="Times New Roman" w:eastAsia="Times New Roman" w:hAnsi="Times New Roman" w:cs="Times New Roman"/>
          <w:color w:val="0D0D0D"/>
          <w:sz w:val="24"/>
          <w:szCs w:val="24"/>
        </w:rPr>
        <w:t xml:space="preserve">New Zealand Government. (n.d.). </w:t>
      </w:r>
      <w:r>
        <w:rPr>
          <w:rFonts w:ascii="Times New Roman" w:eastAsia="Times New Roman" w:hAnsi="Times New Roman" w:cs="Times New Roman"/>
          <w:i/>
          <w:color w:val="0D0D0D"/>
          <w:sz w:val="24"/>
          <w:szCs w:val="24"/>
        </w:rPr>
        <w:t>Cost of living in New Zealand</w:t>
      </w:r>
      <w:r>
        <w:rPr>
          <w:rFonts w:ascii="Times New Roman" w:eastAsia="Times New Roman" w:hAnsi="Times New Roman" w:cs="Times New Roman"/>
          <w:color w:val="0D0D0D"/>
          <w:sz w:val="24"/>
          <w:szCs w:val="24"/>
        </w:rPr>
        <w:t xml:space="preserve">. Live &amp; work in New Zealand. Retrieved November 28, 2024, from </w:t>
      </w:r>
      <w:hyperlink r:id="rId16">
        <w:r>
          <w:rPr>
            <w:rFonts w:ascii="Times New Roman" w:eastAsia="Times New Roman" w:hAnsi="Times New Roman" w:cs="Times New Roman"/>
            <w:color w:val="1155CC"/>
            <w:sz w:val="24"/>
            <w:szCs w:val="24"/>
          </w:rPr>
          <w:t>https://www.live-work.immigration.govt.nz/live-in-new-zealand/money-tax/cost-of-living-in-new-zealand</w:t>
        </w:r>
      </w:hyperlink>
    </w:p>
    <w:p w14:paraId="666AC299" w14:textId="77777777" w:rsidR="00C469F6" w:rsidRDefault="00BE4DF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300"/>
        <w:ind w:left="720"/>
        <w:rPr>
          <w:rFonts w:ascii="Times New Roman" w:eastAsia="Times New Roman" w:hAnsi="Times New Roman" w:cs="Times New Roman"/>
          <w:color w:val="1155CC"/>
          <w:sz w:val="24"/>
          <w:szCs w:val="24"/>
        </w:rPr>
      </w:pPr>
      <w:r>
        <w:rPr>
          <w:rFonts w:ascii="Times New Roman" w:eastAsia="Times New Roman" w:hAnsi="Times New Roman" w:cs="Times New Roman"/>
          <w:color w:val="0D0D0D"/>
          <w:sz w:val="24"/>
          <w:szCs w:val="24"/>
        </w:rPr>
        <w:t xml:space="preserve">New Zealand Pocket Guide. (n.d.). </w:t>
      </w:r>
      <w:r>
        <w:rPr>
          <w:rFonts w:ascii="Times New Roman" w:eastAsia="Times New Roman" w:hAnsi="Times New Roman" w:cs="Times New Roman"/>
          <w:i/>
          <w:color w:val="0D0D0D"/>
          <w:sz w:val="24"/>
          <w:szCs w:val="24"/>
        </w:rPr>
        <w:t>How much does it cost to travel in New Zealand?</w:t>
      </w:r>
      <w:r>
        <w:rPr>
          <w:rFonts w:ascii="Times New Roman" w:eastAsia="Times New Roman" w:hAnsi="Times New Roman" w:cs="Times New Roman"/>
          <w:color w:val="0D0D0D"/>
          <w:sz w:val="24"/>
          <w:szCs w:val="24"/>
        </w:rPr>
        <w:t xml:space="preserve"> Retrieved November 28, 2024, from </w:t>
      </w:r>
      <w:hyperlink r:id="rId17">
        <w:r>
          <w:rPr>
            <w:rFonts w:ascii="Times New Roman" w:eastAsia="Times New Roman" w:hAnsi="Times New Roman" w:cs="Times New Roman"/>
            <w:color w:val="1155CC"/>
            <w:sz w:val="24"/>
            <w:szCs w:val="24"/>
          </w:rPr>
          <w:t>https://nzpocketguide.com/how-much-does-it-cost-to-travel-new-zealand/</w:t>
        </w:r>
      </w:hyperlink>
    </w:p>
    <w:p w14:paraId="28B8476B" w14:textId="77777777" w:rsidR="00C469F6" w:rsidRDefault="00BE4DF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300"/>
        <w:ind w:left="720"/>
        <w:rPr>
          <w:rFonts w:ascii="Times New Roman" w:eastAsia="Times New Roman" w:hAnsi="Times New Roman" w:cs="Times New Roman"/>
          <w:color w:val="1155CC"/>
          <w:sz w:val="24"/>
          <w:szCs w:val="24"/>
        </w:rPr>
      </w:pPr>
      <w:r>
        <w:rPr>
          <w:rFonts w:ascii="Times New Roman" w:eastAsia="Times New Roman" w:hAnsi="Times New Roman" w:cs="Times New Roman"/>
          <w:color w:val="0D0D0D"/>
          <w:sz w:val="24"/>
          <w:szCs w:val="24"/>
        </w:rPr>
        <w:t xml:space="preserve">Yahoo Finance. (2024, November 25). </w:t>
      </w:r>
      <w:r>
        <w:rPr>
          <w:rFonts w:ascii="Times New Roman" w:eastAsia="Times New Roman" w:hAnsi="Times New Roman" w:cs="Times New Roman"/>
          <w:i/>
          <w:color w:val="0D0D0D"/>
          <w:sz w:val="24"/>
          <w:szCs w:val="24"/>
        </w:rPr>
        <w:t>How much should retirees keep in an emergency fund?</w:t>
      </w:r>
      <w:r>
        <w:rPr>
          <w:rFonts w:ascii="Times New Roman" w:eastAsia="Times New Roman" w:hAnsi="Times New Roman" w:cs="Times New Roman"/>
          <w:color w:val="0D0D0D"/>
          <w:sz w:val="24"/>
          <w:szCs w:val="24"/>
        </w:rPr>
        <w:t xml:space="preserve"> Retrieved November 28, 2024, from </w:t>
      </w:r>
      <w:hyperlink r:id="rId18">
        <w:r>
          <w:rPr>
            <w:rFonts w:ascii="Times New Roman" w:eastAsia="Times New Roman" w:hAnsi="Times New Roman" w:cs="Times New Roman"/>
            <w:color w:val="1155CC"/>
            <w:sz w:val="24"/>
            <w:szCs w:val="24"/>
          </w:rPr>
          <w:t>https://finance.yahoo.com/news/much-retirees-keep-emergency-fund-130123665.html</w:t>
        </w:r>
      </w:hyperlink>
    </w:p>
    <w:p w14:paraId="4098938F" w14:textId="77777777" w:rsidR="00C469F6" w:rsidRDefault="00BE4DF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300"/>
        <w:ind w:left="720"/>
        <w:rPr>
          <w:rFonts w:ascii="Times New Roman" w:eastAsia="Times New Roman" w:hAnsi="Times New Roman" w:cs="Times New Roman"/>
          <w:color w:val="1155CC"/>
          <w:sz w:val="24"/>
          <w:szCs w:val="24"/>
        </w:rPr>
      </w:pPr>
      <w:r>
        <w:rPr>
          <w:rFonts w:ascii="Times New Roman" w:eastAsia="Times New Roman" w:hAnsi="Times New Roman" w:cs="Times New Roman"/>
          <w:color w:val="0D0D0D"/>
          <w:sz w:val="24"/>
          <w:szCs w:val="24"/>
        </w:rPr>
        <w:t xml:space="preserve">Sorted. (n.d.). </w:t>
      </w:r>
      <w:r>
        <w:rPr>
          <w:rFonts w:ascii="Times New Roman" w:eastAsia="Times New Roman" w:hAnsi="Times New Roman" w:cs="Times New Roman"/>
          <w:i/>
          <w:color w:val="0D0D0D"/>
          <w:sz w:val="24"/>
          <w:szCs w:val="24"/>
        </w:rPr>
        <w:t>Retirement calculator</w:t>
      </w:r>
      <w:r>
        <w:rPr>
          <w:rFonts w:ascii="Times New Roman" w:eastAsia="Times New Roman" w:hAnsi="Times New Roman" w:cs="Times New Roman"/>
          <w:color w:val="0D0D0D"/>
          <w:sz w:val="24"/>
          <w:szCs w:val="24"/>
        </w:rPr>
        <w:t xml:space="preserve">. Sorted.org.nz. Retrieved November 28, 2024, from </w:t>
      </w:r>
      <w:hyperlink r:id="rId19">
        <w:r>
          <w:rPr>
            <w:rFonts w:ascii="Times New Roman" w:eastAsia="Times New Roman" w:hAnsi="Times New Roman" w:cs="Times New Roman"/>
            <w:color w:val="1155CC"/>
            <w:sz w:val="24"/>
            <w:szCs w:val="24"/>
          </w:rPr>
          <w:t>https://sorted.org.nz/tools/retirement-calculator/</w:t>
        </w:r>
      </w:hyperlink>
    </w:p>
    <w:p w14:paraId="3861BDED" w14:textId="77777777" w:rsidR="00C469F6" w:rsidRDefault="00BE4DF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300"/>
        <w:ind w:left="720"/>
        <w:rPr>
          <w:rFonts w:ascii="Times New Roman" w:eastAsia="Times New Roman" w:hAnsi="Times New Roman" w:cs="Times New Roman"/>
          <w:color w:val="1155CC"/>
          <w:sz w:val="24"/>
          <w:szCs w:val="24"/>
        </w:rPr>
      </w:pPr>
      <w:r>
        <w:rPr>
          <w:rFonts w:ascii="Times New Roman" w:eastAsia="Times New Roman" w:hAnsi="Times New Roman" w:cs="Times New Roman"/>
          <w:color w:val="0D0D0D"/>
          <w:sz w:val="24"/>
          <w:szCs w:val="24"/>
        </w:rPr>
        <w:lastRenderedPageBreak/>
        <w:t xml:space="preserve">New Zealand Government. (n.d.). </w:t>
      </w:r>
      <w:r>
        <w:rPr>
          <w:rFonts w:ascii="Times New Roman" w:eastAsia="Times New Roman" w:hAnsi="Times New Roman" w:cs="Times New Roman"/>
          <w:i/>
          <w:color w:val="0D0D0D"/>
          <w:sz w:val="24"/>
          <w:szCs w:val="24"/>
        </w:rPr>
        <w:t>Sole parent support</w:t>
      </w:r>
      <w:r>
        <w:rPr>
          <w:rFonts w:ascii="Times New Roman" w:eastAsia="Times New Roman" w:hAnsi="Times New Roman" w:cs="Times New Roman"/>
          <w:color w:val="0D0D0D"/>
          <w:sz w:val="24"/>
          <w:szCs w:val="24"/>
        </w:rPr>
        <w:t xml:space="preserve">. Work and Income New Zealand. Retrieved November 28, 2024, from </w:t>
      </w:r>
      <w:hyperlink r:id="rId20">
        <w:r>
          <w:rPr>
            <w:rFonts w:ascii="Times New Roman" w:eastAsia="Times New Roman" w:hAnsi="Times New Roman" w:cs="Times New Roman"/>
            <w:color w:val="1155CC"/>
            <w:sz w:val="24"/>
            <w:szCs w:val="24"/>
          </w:rPr>
          <w:t>https://www.workandincome.govt.nz/products/a-z-benefits/sole-parent-support.html</w:t>
        </w:r>
      </w:hyperlink>
    </w:p>
    <w:p w14:paraId="18BFF2EF" w14:textId="77777777" w:rsidR="00C469F6" w:rsidRDefault="00BE4DF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300"/>
        <w:ind w:left="720"/>
        <w:rPr>
          <w:rFonts w:ascii="Times New Roman" w:eastAsia="Times New Roman" w:hAnsi="Times New Roman" w:cs="Times New Roman"/>
          <w:color w:val="1155CC"/>
          <w:sz w:val="24"/>
          <w:szCs w:val="24"/>
        </w:rPr>
      </w:pPr>
      <w:r>
        <w:rPr>
          <w:rFonts w:ascii="Times New Roman" w:eastAsia="Times New Roman" w:hAnsi="Times New Roman" w:cs="Times New Roman"/>
          <w:color w:val="0D0D0D"/>
          <w:sz w:val="24"/>
          <w:szCs w:val="24"/>
        </w:rPr>
        <w:t xml:space="preserve">Financial Markets Authority. (n.d.). </w:t>
      </w:r>
      <w:r>
        <w:rPr>
          <w:rFonts w:ascii="Times New Roman" w:eastAsia="Times New Roman" w:hAnsi="Times New Roman" w:cs="Times New Roman"/>
          <w:i/>
          <w:color w:val="0D0D0D"/>
          <w:sz w:val="24"/>
          <w:szCs w:val="24"/>
        </w:rPr>
        <w:t>Investment guide</w:t>
      </w:r>
      <w:r>
        <w:rPr>
          <w:rFonts w:ascii="Times New Roman" w:eastAsia="Times New Roman" w:hAnsi="Times New Roman" w:cs="Times New Roman"/>
          <w:color w:val="0D0D0D"/>
          <w:sz w:val="24"/>
          <w:szCs w:val="24"/>
        </w:rPr>
        <w:t xml:space="preserve">. Financial Markets Authority. Retrieved November 28, 2024, from </w:t>
      </w:r>
      <w:hyperlink r:id="rId21">
        <w:r>
          <w:rPr>
            <w:rFonts w:ascii="Times New Roman" w:eastAsia="Times New Roman" w:hAnsi="Times New Roman" w:cs="Times New Roman"/>
            <w:color w:val="1155CC"/>
            <w:sz w:val="24"/>
            <w:szCs w:val="24"/>
          </w:rPr>
          <w:t>https://www.fma.govt.nz/investors/investing/investment-options/</w:t>
        </w:r>
      </w:hyperlink>
    </w:p>
    <w:p w14:paraId="16D77964" w14:textId="77777777" w:rsidR="00C469F6" w:rsidRDefault="00C469F6">
      <w:pPr>
        <w:rPr>
          <w:rFonts w:ascii="Times New Roman" w:eastAsia="Times New Roman" w:hAnsi="Times New Roman" w:cs="Times New Roman"/>
          <w:color w:val="2F5496"/>
          <w:sz w:val="32"/>
          <w:szCs w:val="32"/>
        </w:rPr>
      </w:pPr>
    </w:p>
    <w:p w14:paraId="6358BE81" w14:textId="77777777" w:rsidR="00C469F6" w:rsidRDefault="00C469F6">
      <w:pPr>
        <w:rPr>
          <w:rFonts w:ascii="Times New Roman" w:eastAsia="Times New Roman" w:hAnsi="Times New Roman" w:cs="Times New Roman"/>
          <w:color w:val="2F5496"/>
          <w:sz w:val="32"/>
          <w:szCs w:val="32"/>
        </w:rPr>
      </w:pPr>
    </w:p>
    <w:p w14:paraId="5E913826" w14:textId="77777777" w:rsidR="00C469F6" w:rsidRDefault="00C469F6">
      <w:pPr>
        <w:rPr>
          <w:rFonts w:ascii="Times New Roman" w:eastAsia="Times New Roman" w:hAnsi="Times New Roman" w:cs="Times New Roman"/>
          <w:color w:val="2F5496"/>
          <w:sz w:val="32"/>
          <w:szCs w:val="32"/>
        </w:rPr>
      </w:pPr>
    </w:p>
    <w:p w14:paraId="0423E91E" w14:textId="77777777" w:rsidR="00C469F6" w:rsidRDefault="00C469F6">
      <w:pPr>
        <w:rPr>
          <w:rFonts w:ascii="Times New Roman" w:eastAsia="Times New Roman" w:hAnsi="Times New Roman" w:cs="Times New Roman"/>
          <w:color w:val="2F5496"/>
          <w:sz w:val="32"/>
          <w:szCs w:val="32"/>
        </w:rPr>
      </w:pPr>
    </w:p>
    <w:p w14:paraId="70B2D92B" w14:textId="77777777" w:rsidR="00C469F6" w:rsidRDefault="00C469F6">
      <w:pPr>
        <w:rPr>
          <w:rFonts w:ascii="Times New Roman" w:eastAsia="Times New Roman" w:hAnsi="Times New Roman" w:cs="Times New Roman"/>
          <w:color w:val="2F5496"/>
          <w:sz w:val="32"/>
          <w:szCs w:val="32"/>
        </w:rPr>
      </w:pPr>
    </w:p>
    <w:p w14:paraId="18424C72" w14:textId="77777777" w:rsidR="00C469F6" w:rsidRDefault="00C469F6">
      <w:pPr>
        <w:rPr>
          <w:rFonts w:ascii="Times New Roman" w:eastAsia="Times New Roman" w:hAnsi="Times New Roman" w:cs="Times New Roman"/>
          <w:color w:val="2F5496"/>
          <w:sz w:val="32"/>
          <w:szCs w:val="32"/>
        </w:rPr>
      </w:pPr>
    </w:p>
    <w:p w14:paraId="427B74C6" w14:textId="77777777" w:rsidR="00C469F6" w:rsidRDefault="00C469F6">
      <w:pPr>
        <w:rPr>
          <w:rFonts w:ascii="Times New Roman" w:eastAsia="Times New Roman" w:hAnsi="Times New Roman" w:cs="Times New Roman"/>
          <w:color w:val="2F5496"/>
          <w:sz w:val="32"/>
          <w:szCs w:val="32"/>
        </w:rPr>
      </w:pPr>
    </w:p>
    <w:p w14:paraId="153BB516" w14:textId="77777777" w:rsidR="00C469F6" w:rsidRDefault="00C469F6">
      <w:pPr>
        <w:rPr>
          <w:rFonts w:ascii="Times New Roman" w:eastAsia="Times New Roman" w:hAnsi="Times New Roman" w:cs="Times New Roman"/>
          <w:color w:val="2F5496"/>
          <w:sz w:val="32"/>
          <w:szCs w:val="32"/>
        </w:rPr>
      </w:pPr>
    </w:p>
    <w:p w14:paraId="2E9EC8B6" w14:textId="77777777" w:rsidR="00C469F6" w:rsidRDefault="00C469F6">
      <w:pPr>
        <w:rPr>
          <w:rFonts w:ascii="Times New Roman" w:eastAsia="Times New Roman" w:hAnsi="Times New Roman" w:cs="Times New Roman"/>
          <w:color w:val="2F5496"/>
          <w:sz w:val="32"/>
          <w:szCs w:val="32"/>
        </w:rPr>
      </w:pPr>
    </w:p>
    <w:p w14:paraId="1C86BF0B" w14:textId="77777777" w:rsidR="00C469F6" w:rsidRDefault="00C469F6">
      <w:pPr>
        <w:rPr>
          <w:rFonts w:ascii="Times New Roman" w:eastAsia="Times New Roman" w:hAnsi="Times New Roman" w:cs="Times New Roman"/>
          <w:color w:val="2F5496"/>
          <w:sz w:val="32"/>
          <w:szCs w:val="32"/>
        </w:rPr>
      </w:pPr>
    </w:p>
    <w:p w14:paraId="785BC310" w14:textId="77777777" w:rsidR="00C469F6" w:rsidRDefault="00C469F6">
      <w:pPr>
        <w:rPr>
          <w:rFonts w:ascii="Times New Roman" w:eastAsia="Times New Roman" w:hAnsi="Times New Roman" w:cs="Times New Roman"/>
          <w:color w:val="2F5496"/>
          <w:sz w:val="32"/>
          <w:szCs w:val="32"/>
        </w:rPr>
      </w:pPr>
    </w:p>
    <w:p w14:paraId="7357343F" w14:textId="77777777" w:rsidR="00C469F6" w:rsidRDefault="00C469F6">
      <w:pPr>
        <w:rPr>
          <w:rFonts w:ascii="Times New Roman" w:eastAsia="Times New Roman" w:hAnsi="Times New Roman" w:cs="Times New Roman"/>
          <w:color w:val="2F5496"/>
          <w:sz w:val="32"/>
          <w:szCs w:val="32"/>
        </w:rPr>
      </w:pPr>
    </w:p>
    <w:p w14:paraId="737C4367" w14:textId="77777777" w:rsidR="00C469F6" w:rsidRDefault="00C469F6">
      <w:pPr>
        <w:rPr>
          <w:rFonts w:ascii="Times New Roman" w:eastAsia="Times New Roman" w:hAnsi="Times New Roman" w:cs="Times New Roman"/>
          <w:color w:val="2F5496"/>
          <w:sz w:val="32"/>
          <w:szCs w:val="32"/>
        </w:rPr>
      </w:pPr>
    </w:p>
    <w:p w14:paraId="0132C3A1" w14:textId="77777777" w:rsidR="00C469F6" w:rsidRDefault="00C469F6">
      <w:pPr>
        <w:rPr>
          <w:rFonts w:ascii="Times New Roman" w:eastAsia="Times New Roman" w:hAnsi="Times New Roman" w:cs="Times New Roman"/>
          <w:color w:val="2F5496"/>
          <w:sz w:val="32"/>
          <w:szCs w:val="32"/>
        </w:rPr>
      </w:pPr>
    </w:p>
    <w:p w14:paraId="138798AF" w14:textId="77777777" w:rsidR="00C469F6" w:rsidRDefault="00C469F6">
      <w:pPr>
        <w:rPr>
          <w:rFonts w:ascii="Times New Roman" w:eastAsia="Times New Roman" w:hAnsi="Times New Roman" w:cs="Times New Roman"/>
          <w:color w:val="2F5496"/>
          <w:sz w:val="32"/>
          <w:szCs w:val="32"/>
        </w:rPr>
      </w:pPr>
    </w:p>
    <w:p w14:paraId="53F936F5" w14:textId="77777777" w:rsidR="00C469F6" w:rsidRDefault="00C469F6">
      <w:pPr>
        <w:rPr>
          <w:rFonts w:ascii="Times New Roman" w:eastAsia="Times New Roman" w:hAnsi="Times New Roman" w:cs="Times New Roman"/>
          <w:color w:val="2F5496"/>
          <w:sz w:val="32"/>
          <w:szCs w:val="32"/>
        </w:rPr>
      </w:pPr>
    </w:p>
    <w:p w14:paraId="1ABE41FD" w14:textId="77777777" w:rsidR="00C469F6" w:rsidRDefault="00C469F6">
      <w:pPr>
        <w:rPr>
          <w:rFonts w:ascii="Times New Roman" w:eastAsia="Times New Roman" w:hAnsi="Times New Roman" w:cs="Times New Roman"/>
          <w:color w:val="2F5496"/>
          <w:sz w:val="32"/>
          <w:szCs w:val="32"/>
        </w:rPr>
      </w:pPr>
    </w:p>
    <w:p w14:paraId="7512DDB9" w14:textId="77777777" w:rsidR="00823895" w:rsidRDefault="00823895">
      <w:pPr>
        <w:rPr>
          <w:rFonts w:ascii="Times New Roman" w:eastAsia="Times New Roman" w:hAnsi="Times New Roman" w:cs="Times New Roman"/>
          <w:color w:val="2F5496"/>
          <w:sz w:val="32"/>
          <w:szCs w:val="32"/>
        </w:rPr>
      </w:pPr>
    </w:p>
    <w:p w14:paraId="0F870AA0" w14:textId="77777777" w:rsidR="00823895" w:rsidRDefault="00823895">
      <w:pPr>
        <w:rPr>
          <w:rFonts w:ascii="Times New Roman" w:eastAsia="Times New Roman" w:hAnsi="Times New Roman" w:cs="Times New Roman"/>
          <w:color w:val="2F5496"/>
          <w:sz w:val="32"/>
          <w:szCs w:val="32"/>
        </w:rPr>
      </w:pPr>
    </w:p>
    <w:p w14:paraId="0FF65523" w14:textId="77777777" w:rsidR="00C469F6" w:rsidRDefault="00BE4DF4">
      <w:pPr>
        <w:rPr>
          <w:rFonts w:ascii="Times New Roman" w:eastAsia="Times New Roman" w:hAnsi="Times New Roman" w:cs="Times New Roman"/>
          <w:color w:val="2F5496"/>
          <w:sz w:val="28"/>
          <w:szCs w:val="28"/>
        </w:rPr>
      </w:pPr>
      <w:r>
        <w:rPr>
          <w:rFonts w:ascii="Times New Roman" w:eastAsia="Times New Roman" w:hAnsi="Times New Roman" w:cs="Times New Roman"/>
          <w:color w:val="2F5496"/>
          <w:sz w:val="28"/>
          <w:szCs w:val="28"/>
        </w:rPr>
        <w:lastRenderedPageBreak/>
        <w:t>8. Appendix</w:t>
      </w:r>
    </w:p>
    <w:p w14:paraId="782CEB77" w14:textId="77777777" w:rsidR="00C469F6" w:rsidRDefault="00BE4DF4">
      <w:pPr>
        <w:rPr>
          <w:rFonts w:ascii="Times New Roman" w:eastAsia="Times New Roman" w:hAnsi="Times New Roman" w:cs="Times New Roman"/>
          <w:color w:val="2F5496"/>
          <w:sz w:val="28"/>
          <w:szCs w:val="28"/>
        </w:rPr>
      </w:pPr>
      <w:r>
        <w:rPr>
          <w:rFonts w:ascii="Times New Roman" w:eastAsia="Times New Roman" w:hAnsi="Times New Roman" w:cs="Times New Roman"/>
          <w:color w:val="2F5496"/>
          <w:sz w:val="28"/>
          <w:szCs w:val="28"/>
        </w:rPr>
        <w:t xml:space="preserve">Chat GPT Prompts </w:t>
      </w:r>
    </w:p>
    <w:p w14:paraId="6E522692" w14:textId="77777777" w:rsidR="00C469F6" w:rsidRDefault="00BE4DF4">
      <w:pPr>
        <w:rPr>
          <w:rFonts w:ascii="Times New Roman" w:eastAsia="Times New Roman" w:hAnsi="Times New Roman" w:cs="Times New Roman"/>
          <w:color w:val="2F5496"/>
          <w:sz w:val="32"/>
          <w:szCs w:val="32"/>
        </w:rPr>
      </w:pPr>
      <w:r>
        <w:rPr>
          <w:rFonts w:ascii="Times New Roman" w:eastAsia="Times New Roman" w:hAnsi="Times New Roman" w:cs="Times New Roman"/>
          <w:color w:val="2D3B45"/>
          <w:sz w:val="24"/>
          <w:szCs w:val="24"/>
          <w:highlight w:val="white"/>
        </w:rPr>
        <w:t>The following screenshots provide proof, for usage of AI</w:t>
      </w:r>
      <w:r>
        <w:rPr>
          <w:rFonts w:ascii="Times New Roman" w:eastAsia="Times New Roman" w:hAnsi="Times New Roman" w:cs="Times New Roman"/>
          <w:color w:val="2D3B45"/>
          <w:sz w:val="24"/>
          <w:szCs w:val="24"/>
          <w:highlight w:val="white"/>
        </w:rPr>
        <w:br/>
      </w:r>
      <w:r>
        <w:rPr>
          <w:rFonts w:ascii="Times New Roman" w:eastAsia="Times New Roman" w:hAnsi="Times New Roman" w:cs="Times New Roman"/>
          <w:color w:val="2F5496"/>
          <w:sz w:val="32"/>
          <w:szCs w:val="32"/>
        </w:rPr>
        <w:br/>
      </w:r>
      <w:r>
        <w:rPr>
          <w:rFonts w:ascii="Times New Roman" w:eastAsia="Times New Roman" w:hAnsi="Times New Roman" w:cs="Times New Roman"/>
          <w:noProof/>
          <w:color w:val="2F5496"/>
          <w:sz w:val="32"/>
          <w:szCs w:val="32"/>
        </w:rPr>
        <w:drawing>
          <wp:inline distT="114300" distB="114300" distL="114300" distR="114300" wp14:anchorId="6F11A903" wp14:editId="138DD7B2">
            <wp:extent cx="5943600" cy="160998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943600" cy="1609980"/>
                    </a:xfrm>
                    <a:prstGeom prst="rect">
                      <a:avLst/>
                    </a:prstGeom>
                    <a:ln/>
                  </pic:spPr>
                </pic:pic>
              </a:graphicData>
            </a:graphic>
          </wp:inline>
        </w:drawing>
      </w:r>
      <w:r>
        <w:rPr>
          <w:rFonts w:ascii="Times New Roman" w:eastAsia="Times New Roman" w:hAnsi="Times New Roman" w:cs="Times New Roman"/>
          <w:color w:val="2F5496"/>
          <w:sz w:val="32"/>
          <w:szCs w:val="32"/>
        </w:rPr>
        <w:br/>
      </w:r>
      <w:r>
        <w:rPr>
          <w:rFonts w:ascii="Times New Roman" w:eastAsia="Times New Roman" w:hAnsi="Times New Roman" w:cs="Times New Roman"/>
          <w:color w:val="2F5496"/>
          <w:sz w:val="32"/>
          <w:szCs w:val="32"/>
        </w:rPr>
        <w:br/>
      </w:r>
      <w:r>
        <w:rPr>
          <w:rFonts w:ascii="Times New Roman" w:eastAsia="Times New Roman" w:hAnsi="Times New Roman" w:cs="Times New Roman"/>
          <w:noProof/>
          <w:color w:val="2F5496"/>
          <w:sz w:val="32"/>
          <w:szCs w:val="32"/>
        </w:rPr>
        <w:drawing>
          <wp:inline distT="114300" distB="114300" distL="114300" distR="114300" wp14:anchorId="43988807" wp14:editId="4DA74F81">
            <wp:extent cx="5943600" cy="15875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943600" cy="1587500"/>
                    </a:xfrm>
                    <a:prstGeom prst="rect">
                      <a:avLst/>
                    </a:prstGeom>
                    <a:ln/>
                  </pic:spPr>
                </pic:pic>
              </a:graphicData>
            </a:graphic>
          </wp:inline>
        </w:drawing>
      </w:r>
      <w:r>
        <w:rPr>
          <w:rFonts w:ascii="Times New Roman" w:eastAsia="Times New Roman" w:hAnsi="Times New Roman" w:cs="Times New Roman"/>
          <w:color w:val="2F5496"/>
          <w:sz w:val="32"/>
          <w:szCs w:val="32"/>
        </w:rPr>
        <w:br/>
      </w:r>
      <w:r>
        <w:rPr>
          <w:rFonts w:ascii="Times New Roman" w:eastAsia="Times New Roman" w:hAnsi="Times New Roman" w:cs="Times New Roman"/>
          <w:noProof/>
          <w:color w:val="2F5496"/>
          <w:sz w:val="32"/>
          <w:szCs w:val="32"/>
        </w:rPr>
        <w:drawing>
          <wp:inline distT="114300" distB="114300" distL="114300" distR="114300" wp14:anchorId="26A1F556" wp14:editId="2E4DA62E">
            <wp:extent cx="5943600" cy="121386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943600" cy="1213867"/>
                    </a:xfrm>
                    <a:prstGeom prst="rect">
                      <a:avLst/>
                    </a:prstGeom>
                    <a:ln/>
                  </pic:spPr>
                </pic:pic>
              </a:graphicData>
            </a:graphic>
          </wp:inline>
        </w:drawing>
      </w:r>
      <w:r>
        <w:rPr>
          <w:rFonts w:ascii="Times New Roman" w:eastAsia="Times New Roman" w:hAnsi="Times New Roman" w:cs="Times New Roman"/>
          <w:color w:val="2F5496"/>
          <w:sz w:val="32"/>
          <w:szCs w:val="32"/>
        </w:rPr>
        <w:br/>
      </w:r>
      <w:r>
        <w:rPr>
          <w:rFonts w:ascii="Times New Roman" w:eastAsia="Times New Roman" w:hAnsi="Times New Roman" w:cs="Times New Roman"/>
          <w:noProof/>
          <w:color w:val="2F5496"/>
          <w:sz w:val="32"/>
          <w:szCs w:val="32"/>
        </w:rPr>
        <w:drawing>
          <wp:inline distT="114300" distB="114300" distL="114300" distR="114300" wp14:anchorId="73ED068E" wp14:editId="6721593D">
            <wp:extent cx="5943600" cy="1984059"/>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943600" cy="1984059"/>
                    </a:xfrm>
                    <a:prstGeom prst="rect">
                      <a:avLst/>
                    </a:prstGeom>
                    <a:ln/>
                  </pic:spPr>
                </pic:pic>
              </a:graphicData>
            </a:graphic>
          </wp:inline>
        </w:drawing>
      </w:r>
    </w:p>
    <w:sectPr w:rsidR="00C469F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C439" w14:textId="77777777" w:rsidR="00CD6E79" w:rsidRDefault="00CD6E79" w:rsidP="00823895">
      <w:pPr>
        <w:spacing w:after="0" w:line="240" w:lineRule="auto"/>
      </w:pPr>
      <w:r>
        <w:separator/>
      </w:r>
    </w:p>
  </w:endnote>
  <w:endnote w:type="continuationSeparator" w:id="0">
    <w:p w14:paraId="4CF99AC6" w14:textId="77777777" w:rsidR="00CD6E79" w:rsidRDefault="00CD6E79" w:rsidP="00823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D7A35" w14:textId="77777777" w:rsidR="00CD6E79" w:rsidRDefault="00CD6E79" w:rsidP="00823895">
      <w:pPr>
        <w:spacing w:after="0" w:line="240" w:lineRule="auto"/>
      </w:pPr>
      <w:r>
        <w:separator/>
      </w:r>
    </w:p>
  </w:footnote>
  <w:footnote w:type="continuationSeparator" w:id="0">
    <w:p w14:paraId="1844D037" w14:textId="77777777" w:rsidR="00CD6E79" w:rsidRDefault="00CD6E79" w:rsidP="00823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84185"/>
    <w:multiLevelType w:val="multilevel"/>
    <w:tmpl w:val="90B4B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0C4072"/>
    <w:multiLevelType w:val="multilevel"/>
    <w:tmpl w:val="22F470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686F04"/>
    <w:multiLevelType w:val="multilevel"/>
    <w:tmpl w:val="99C4A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0559345">
    <w:abstractNumId w:val="1"/>
  </w:num>
  <w:num w:numId="2" w16cid:durableId="1082294130">
    <w:abstractNumId w:val="2"/>
  </w:num>
  <w:num w:numId="3" w16cid:durableId="1890341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9F6"/>
    <w:rsid w:val="00373344"/>
    <w:rsid w:val="00761156"/>
    <w:rsid w:val="007711D9"/>
    <w:rsid w:val="00823895"/>
    <w:rsid w:val="00AC02BF"/>
    <w:rsid w:val="00BE4DF4"/>
    <w:rsid w:val="00C469F6"/>
    <w:rsid w:val="00CD6E79"/>
    <w:rsid w:val="00D9723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A5F8F"/>
  <w15:docId w15:val="{B706CDB8-828C-4A81-BD6F-BD578AD9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B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51BF5"/>
    <w:rPr>
      <w:rFonts w:asciiTheme="majorHAnsi" w:eastAsiaTheme="majorEastAsia" w:hAnsiTheme="majorHAnsi" w:cstheme="majorBidi"/>
      <w:color w:val="2F5496" w:themeColor="accent1" w:themeShade="BF"/>
      <w:sz w:val="32"/>
      <w:szCs w:val="32"/>
    </w:rPr>
  </w:style>
  <w:style w:type="character" w:customStyle="1" w:styleId="screenreader-only">
    <w:name w:val="screenreader-only"/>
    <w:basedOn w:val="DefaultParagraphFont"/>
    <w:rsid w:val="00751BF5"/>
  </w:style>
  <w:style w:type="character" w:customStyle="1" w:styleId="description">
    <w:name w:val="description"/>
    <w:basedOn w:val="DefaultParagraphFont"/>
    <w:rsid w:val="00751BF5"/>
  </w:style>
  <w:style w:type="character" w:styleId="Strong">
    <w:name w:val="Strong"/>
    <w:basedOn w:val="DefaultParagraphFont"/>
    <w:uiPriority w:val="22"/>
    <w:qFormat/>
    <w:rsid w:val="005926BA"/>
    <w:rPr>
      <w:b/>
      <w:bCs/>
    </w:rPr>
  </w:style>
  <w:style w:type="paragraph" w:styleId="NormalWeb">
    <w:name w:val="Normal (Web)"/>
    <w:basedOn w:val="Normal"/>
    <w:uiPriority w:val="99"/>
    <w:semiHidden/>
    <w:unhideWhenUsed/>
    <w:rsid w:val="005926B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926BA"/>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238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3895"/>
  </w:style>
  <w:style w:type="paragraph" w:styleId="Footer">
    <w:name w:val="footer"/>
    <w:basedOn w:val="Normal"/>
    <w:link w:val="FooterChar"/>
    <w:uiPriority w:val="99"/>
    <w:unhideWhenUsed/>
    <w:rsid w:val="008238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3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bnz.govt.nz/monetary-policy/inflation" TargetMode="External"/><Relationship Id="rId18" Type="http://schemas.openxmlformats.org/officeDocument/2006/relationships/hyperlink" Target="https://finance.yahoo.com/news/much-retirees-keep-emergency-fund-130123665.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fma.govt.nz/investors/investing/investment-options/" TargetMode="External"/><Relationship Id="rId7" Type="http://schemas.openxmlformats.org/officeDocument/2006/relationships/endnotes" Target="endnotes.xml"/><Relationship Id="rId12" Type="http://schemas.openxmlformats.org/officeDocument/2006/relationships/hyperlink" Target="https://www.stats.govt.nz/assets/Uploads/Household-expenditure-statistics/Household-expenditure-statistics-Year-ended-June-2023/Download-data/household-expenditure-statistics-year-ended-june-2023-updated.xlsx" TargetMode="External"/><Relationship Id="rId17" Type="http://schemas.openxmlformats.org/officeDocument/2006/relationships/hyperlink" Target="https://nzpocketguide.com/how-much-does-it-cost-to-travel-new-zealand/"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live-work.immigration.govt.nz/live-in-new-zealand/money-tax/cost-of-living-in-new-zealand" TargetMode="External"/><Relationship Id="rId20" Type="http://schemas.openxmlformats.org/officeDocument/2006/relationships/hyperlink" Target="https://www.workandincome.govt.nz/products/a-z-benefits/sole-parent-suppor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ve-work.immigration.govt.nz/live-in-new-zealand/money-tax/cost-of-living-in-new-zealand"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fred.stlouisfed.org/series/IRLTLT01NZM156N" TargetMode="External"/><Relationship Id="rId23" Type="http://schemas.openxmlformats.org/officeDocument/2006/relationships/image" Target="media/image4.png"/><Relationship Id="rId10" Type="http://schemas.openxmlformats.org/officeDocument/2006/relationships/hyperlink" Target="https://retirementcalculator.nga.finra.org/calculator/" TargetMode="External"/><Relationship Id="rId19" Type="http://schemas.openxmlformats.org/officeDocument/2006/relationships/hyperlink" Target="https://sorted.org.nz/tools/retirement-calculato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rd.govt.nz/kiwisaver/kiwisaver-employers/contributions-and-deductions/employer-contributions-to-kiwisaver-and-complying-funds" TargetMode="External"/><Relationship Id="rId22" Type="http://schemas.openxmlformats.org/officeDocument/2006/relationships/image" Target="media/image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dsB6J5AcxqVjC3xZtQBlBjq8fA==">CgMxLjAaHwoBMBIaChgICVIUChJ0YWJsZS43dzR3b3Bwb3I0Y2oyDmguZGt4Znh0bmd2YjdjOAByITEtankxb2FMMm80bjY5Z3gzODZrOFZ6Y1lfcHZadEhFRg==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2706</Words>
  <Characters>15426</Characters>
  <Application>Microsoft Office Word</Application>
  <DocSecurity>0</DocSecurity>
  <Lines>128</Lines>
  <Paragraphs>36</Paragraphs>
  <ScaleCrop>false</ScaleCrop>
  <Company/>
  <LinksUpToDate>false</LinksUpToDate>
  <CharactersWithSpaces>18096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Viswaja Kudala</dc:creator>
  <cp:lastModifiedBy>raghuraman b</cp:lastModifiedBy>
  <cp:revision>4</cp:revision>
  <dcterms:created xsi:type="dcterms:W3CDTF">2024-11-21T07:41:00Z</dcterms:created>
  <dcterms:modified xsi:type="dcterms:W3CDTF">2026-01-22T03:13:00Z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8be7e02b-7bc7-479c-bf06-bcf3ebea2b1b</vt:lpwstr>
  </property>
</Properties>
</file>