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Release Criteria</w:t>
      </w:r>
    </w:p>
    <w:p>
      <w:pPr>
        <w:pStyle w:val="ListBullet"/>
      </w:pPr>
      <w:r>
        <w:t>Minimum test pass rate: 95%</w:t>
      </w:r>
    </w:p>
    <w:p>
      <w:pPr>
        <w:pStyle w:val="ListBullet"/>
      </w:pPr>
      <w:r>
        <w:t>Open CRITICAL/HIGH defects: 0</w:t>
      </w:r>
    </w:p>
    <w:p>
      <w:pPr>
        <w:pStyle w:val="ListBullet"/>
      </w:pPr>
      <w:r>
        <w:t>Open CRITICAL/HIGH security findings: 0</w:t>
      </w:r>
    </w:p>
    <w:p>
      <w:pPr>
        <w:pStyle w:val="ListBullet"/>
      </w:pPr>
      <w:r>
        <w:t>Evidence freshness: maximum 24 hours</w:t>
      </w:r>
    </w:p>
    <w:p>
      <w:pPr>
        <w:pStyle w:val="ListBullet"/>
      </w:pPr>
      <w:r>
        <w:t>Missing evidence must be treated as a failure.</w:t>
      </w:r>
    </w:p>
    <w:p>
      <w:pPr>
        <w:pStyle w:val="ListBullet"/>
      </w:pPr>
      <w:r>
        <w:t>Zero executed tests must be treated as a failure.</w:t>
      </w:r>
    </w:p>
    <w:p>
      <w:pPr>
        <w:pStyle w:val="ListBullet"/>
      </w:pPr>
      <w:r>
        <w:t>Conditional-GO is allowed only when explicitly enabled by release policy.</w:t>
      </w:r>
    </w:p>
    <w:p>
      <w:pPr>
        <w:pStyle w:val="ListBullet"/>
      </w:pPr>
      <w:r>
        <w:t>The decision-support agent must never trigger deployment.</w:t>
      </w:r>
    </w:p>
    <w:p>
      <w:pPr>
        <w:pStyle w:val="ListBullet"/>
      </w:pPr>
      <w:r>
        <w:t>A human release manager owns the final go/no-go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