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RISK REGISTER &amp; CLOSURE NOTE</w:t>
        <w:br/>
      </w:r>
      <w:r>
        <w:rPr>
          <w:b/>
          <w:sz w:val="28"/>
        </w:rPr>
        <w:t>PropTax – Online Property Tax Self-Assessment and Payment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Student Name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Ragini Singh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Roll No.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150096724023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Case Study No.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141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Case Study Title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PropTax – Online Property Tax Self-Assessment and Payment Portal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Software Engineering &amp; Project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Semester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V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Examination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Sprint 1 Examination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Deliverable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Risk Register &amp; Closure Note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1. Risk Management Approach</w:t>
      </w:r>
    </w:p>
    <w:p>
      <w:r>
        <w:t>Risks are assessed using Probability × Impact. Probability and impact are scored from 1 to 5. Exposure is calculated as P × I. Higher exposure risks receive earlier management attention. The risk register is kept separate from the issue log: a risk is a possible future event, while an issue is an event that has already occurred.</w:t>
      </w:r>
    </w:p>
    <w:p>
      <w:pPr>
        <w:spacing w:before="160" w:after="80"/>
      </w:pPr>
      <w:r>
        <w:rPr>
          <w:b/>
          <w:color w:val="17365D"/>
          <w:sz w:val="28"/>
        </w:rPr>
        <w:t>2.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7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278"/>
            <w:shd w:fill="17365D"/>
          </w:tcPr>
          <w:p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1278"/>
            <w:shd w:fill="17365D"/>
          </w:tcPr>
          <w:p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1278"/>
            <w:shd w:fill="17365D"/>
          </w:tcPr>
          <w:p>
            <w:r>
              <w:rPr>
                <w:b/>
                <w:color w:val="FFFFFF"/>
                <w:sz w:val="16"/>
              </w:rPr>
              <w:t>Exposure</w:t>
            </w:r>
          </w:p>
        </w:tc>
        <w:tc>
          <w:tcPr>
            <w:tcW w:type="dxa" w:w="1278"/>
            <w:shd w:fill="17365D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278"/>
            <w:shd w:fill="17365D"/>
          </w:tcPr>
          <w:p>
            <w:r>
              <w:rPr>
                <w:b/>
                <w:color w:val="FFFFFF"/>
                <w:sz w:val="16"/>
              </w:rPr>
              <w:t>Mitigation / Response</w:t>
            </w:r>
          </w:p>
        </w:tc>
        <w:tc>
          <w:tcPr>
            <w:tcW w:type="dxa" w:w="1278"/>
            <w:shd w:fill="17365D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Legal requirements for objections are unclear or change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Legal / Scope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Keep full objections outside Release 1; confirm legal rules before later implementation.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PM / Legal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Tax rate-table or rebate rules are incorrect or incomplete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Business / Quality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Validate rules with Revenue Department before calculation testing.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Revenue / Business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Payment gateway integration or confirmation fails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Technical / Integration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Test gateway early and define success/failure/reconciliation handling.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Technical Lead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Velocity remains below 11 points per sprint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Schedule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Track actual velocity and protect core Release 1 scope.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Project Manager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Security or unauthorized-access issue exposes data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Apply access controls and security testing.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Technical / Security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Property data quality causes incorrect assessment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Validate property data and flag inconsistent records.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Revenue / Data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R07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Testing finds defects late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Quality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Run testing throughout development and prioritize critical defects.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QA / Testing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3. Probability–Impact Matrix</w:t>
      </w:r>
    </w:p>
    <w:p>
      <w:r>
        <w:t>Exposure is calculated as Probability × Impact. The Excel workbook contains the complete 5×5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Impact \ Probability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10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15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20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25</w:t>
            </w:r>
          </w:p>
        </w:tc>
      </w:tr>
    </w:tbl>
    <w:p/>
    <w:p>
      <w:r>
        <w:t>For this register, R01 has the highest exposure (20). R02 and R03 have exposure 15. These are the top three risks used for RMMM.</w:t>
      </w:r>
    </w:p>
    <w:p>
      <w:pPr>
        <w:spacing w:before="160" w:after="80"/>
      </w:pPr>
      <w:r>
        <w:rPr>
          <w:b/>
          <w:color w:val="17365D"/>
          <w:sz w:val="28"/>
        </w:rPr>
        <w:t>4. Top 3 Risks – RMMM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Monitoring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Management / Trigger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Contingency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R01 – Legal objection requirements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Keep objections outside Release 1 and obtain legal clarification.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Review legal clarification status each sprint.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If legal rules remain unclear at scope freeze, do not include objections.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Move objections to a later release and protect the 55-point core scope.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PM / Legal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R02 – Rate/rebate rules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Validate approved rules before finalizing calculation.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Review rule approval and calculation tests.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If a rule is disputed or changes, freeze affected calculation rule.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Hold affected calculation release until verified and retested.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Revenue / Business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R03 – Payment integration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Test gateway early and define success/failure handling.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Track gateway failures and confirmation mismatches.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If confirmation is unreliable, escalate before release validation.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Use failure/reconciliation path and prevent incorrect success marking.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Technical Lead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5. Issue Log</w:t>
      </w:r>
    </w:p>
    <w:p>
      <w:r>
        <w:t>Issues are different from risks because issues have already occurred. The accompanying workbook keeps the issue log separate. The sample issue entries are explicitly based on the worked-example defects used in the previous testing deliverable.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I01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Worked-example rate-table calculation defect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Correct rule and rerun related tests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Closed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I02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Worked-example failed-payment response had ambiguous status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Define explicit failure status and reconciliation handling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Closed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6. Closure Note</w:t>
      </w:r>
    </w:p>
    <w:p>
      <w:r>
        <w:t>The PropTax case study was planned as an individual software engineering and project management exercise covering requirements, design, estimation, testing, risk management and release planning.</w:t>
      </w:r>
    </w:p>
    <w:p>
      <w:r>
        <w:t>The Release 1 plan focuses on property search, self-assessment, tax calculation, online payment and receipt generation. The supplied backlog for this core scope is 55 story points. At a velocity of 11 points per 2-week sprint, the forecast is 5 sprints or 10 weeks.</w:t>
      </w:r>
    </w:p>
    <w:p>
      <w:r>
        <w:t>The full objections workflow adds 29 points, bringing the total to 84 points. At the supplied velocity this requires 8 sprints, or 16 weeks, which consumes the entire available window before the tax year starts. The case study also identifies legal complexity in objections, so the full objection workflow is planned for a later release.</w:t>
      </w:r>
    </w:p>
    <w:p>
      <w:r>
        <w:t>The project artefacts produced for this case study include the SRS, UML package, project plan, forecast sheet, test plan and evidence, risk register and closure note.</w:t>
      </w:r>
    </w:p>
    <w:p>
      <w:pPr>
        <w:spacing w:before="160" w:after="80"/>
      </w:pPr>
      <w:r>
        <w:rPr>
          <w:b/>
          <w:color w:val="17365D"/>
          <w:sz w:val="28"/>
        </w:rPr>
        <w:t>7. Lessons Learned</w:t>
      </w:r>
    </w:p>
    <w:p>
      <w:pPr>
        <w:pStyle w:val="ListBullet"/>
      </w:pPr>
      <w:r>
        <w:t>Requirements should be clearly defined before detailed design and implementation.</w:t>
      </w:r>
    </w:p>
    <w:p>
      <w:pPr>
        <w:pStyle w:val="ListBullet"/>
      </w:pPr>
      <w:r>
        <w:t>Scope decisions should consider effort, deadline, legal complexity and quality rather than functionality alone.</w:t>
      </w:r>
    </w:p>
    <w:p>
      <w:pPr>
        <w:pStyle w:val="ListBullet"/>
      </w:pPr>
      <w:r>
        <w:t>Using the supplied velocity and story points makes the schedule decision transparent.</w:t>
      </w:r>
    </w:p>
    <w:p>
      <w:pPr>
        <w:pStyle w:val="ListBullet"/>
      </w:pPr>
      <w:r>
        <w:t>Boundary-value, equivalence-class and decision-table testing help cover different classes of input and business rules.</w:t>
      </w:r>
    </w:p>
    <w:p>
      <w:pPr>
        <w:pStyle w:val="ListBullet"/>
      </w:pPr>
      <w:r>
        <w:t>Risks should be identified early, ranked using probability and impact, and assigned clear owners.</w:t>
      </w:r>
    </w:p>
    <w:p>
      <w:pPr>
        <w:pStyle w:val="ListBullet"/>
      </w:pPr>
      <w:r>
        <w:t>Risks and already-occurred issues should be tracked separately.</w:t>
      </w:r>
    </w:p>
    <w:p>
      <w:pPr>
        <w:spacing w:before="160" w:after="80"/>
      </w:pPr>
      <w:r>
        <w:rPr>
          <w:b/>
          <w:color w:val="17365D"/>
          <w:sz w:val="28"/>
        </w:rPr>
        <w:t>8. Closure Statement</w:t>
      </w:r>
    </w:p>
    <w:p>
      <w:r>
        <w:t>The case study planning is considered complete for the defined Release 1 scope, subject to actual implementation, test execution and stakeholder validation. Future releases can address the full legal objection workflow after the required legal rules and acceptance criteria are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Ragini Singh • 150096724023 • Case Study 141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SOFTWARE ENGINEERING &amp; PROJECT MANAGEMENT  |  CASE STUDY 141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