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TEST PLAN &amp; EVIDENCE</w:t>
        <w:br/>
      </w:r>
      <w:r>
        <w:rPr>
          <w:b/>
          <w:sz w:val="28"/>
        </w:rPr>
        <w:t>PropTax – Online Property Tax Self-Assessment and Payment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Student Name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Ragini Singh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Roll No.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150096724023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Case Study No.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141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Case Study Title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PropTax – Online Property Tax Self-Assessment and Payment Portal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Software Engineering &amp; Project Management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Semester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V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Examination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Sprint 1 Examination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Deliverable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Test Plan &amp; Evidence</w:t>
            </w:r>
          </w:p>
        </w:tc>
      </w:tr>
    </w:tbl>
    <w:p/>
    <w:p>
      <w:pPr>
        <w:spacing w:before="160" w:after="80"/>
      </w:pPr>
      <w:r>
        <w:rPr>
          <w:b/>
          <w:color w:val="17365D"/>
          <w:sz w:val="28"/>
        </w:rPr>
        <w:t>1. Testing Objective</w:t>
      </w:r>
    </w:p>
    <w:p>
      <w:r>
        <w:t>The test plan covers the areas explicitly required in the case study: boundary-value testing for built-up area and property-age fields, equivalence classes, decision tables for rate-table and rebate rules, defect logging, defect density and defect removal efficiency (DRE).</w:t>
      </w:r>
    </w:p>
    <w:p>
      <w:pPr>
        <w:spacing w:before="160" w:after="80"/>
      </w:pPr>
      <w:r>
        <w:rPr>
          <w:b/>
          <w:color w:val="17365D"/>
          <w:sz w:val="28"/>
        </w:rPr>
        <w:t>2. Boundary Value Analysis (BVA)</w:t>
      </w:r>
    </w:p>
    <w:p>
      <w:r>
        <w:t>The PS does not provide numeric minimum and maximum values for built-up area or property age. Therefore, the BVA cases are expressed around the approved minimum and maximum boundaries. The actual numeric values must be taken from the approved requirement/rate table rather than invented.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TC01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Built-up Area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Min − 1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Reject/flag invalid value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TC02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Built-up Area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Accept valid boundary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TC03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Built-up Area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Min + 1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Accept valid value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TC04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Built-up Area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Max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Accept valid boundary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TC05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Built-up Area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Max + 1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Reject/flag invalid value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TC06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Property Age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Min − 1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Reject/flag invalid value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TC07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Property Age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Accept valid boundary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TC08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Property Age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Min + 1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Accept valid value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TC09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Property Age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Max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Accept valid boundary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TC10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Property Age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Max + 1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Reject/flag invalid value</w:t>
            </w:r>
          </w:p>
        </w:tc>
      </w:tr>
    </w:tbl>
    <w:p/>
    <w:p>
      <w:pPr>
        <w:spacing w:before="160" w:after="80"/>
      </w:pPr>
      <w:r>
        <w:rPr>
          <w:b/>
          <w:color w:val="17365D"/>
          <w:sz w:val="28"/>
        </w:rPr>
        <w:t>3. Equivalence Class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Example Condition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Property Search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Valid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Existing valid property 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Property details displayed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Property Search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Invalid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Malformed/non-existing 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Validation or not-found response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Self-Assessment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Valid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All required fields valid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Proceed to calculation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Self-Assessment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Invalid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Required field missing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Block calculation and show validation</w:t>
            </w:r>
          </w:p>
        </w:tc>
      </w:tr>
    </w:tbl>
    <w:p/>
    <w:p>
      <w:pPr>
        <w:spacing w:before="160" w:after="80"/>
      </w:pPr>
      <w:r>
        <w:rPr>
          <w:b/>
          <w:color w:val="17365D"/>
          <w:sz w:val="28"/>
        </w:rPr>
        <w:t>4. Decision Table – Rate Table and Rebate</w:t>
      </w:r>
    </w:p>
    <w:p>
      <w:r>
        <w:t>The case study requires a decision table, but it does not provide the exact rate values or legal rebate eligibility conditions. The table therefore records the logical decisions without inventing those missing legal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6"/>
              </w:rPr>
              <w:t>Assessment Valid?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6"/>
              </w:rPr>
              <w:t>Rate Match?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6"/>
              </w:rPr>
              <w:t>Rebate Eligible?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5"/>
              </w:rPr>
              <w:t>R1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Calculate using matched rate; no rebate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5"/>
              </w:rPr>
              <w:t>R2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Calculate using matched rate and apply approved rebate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Return rate validation/error; do not silently calculate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5"/>
              </w:rPr>
              <w:t>R4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Reject invalid assessment</w:t>
            </w:r>
          </w:p>
        </w:tc>
      </w:tr>
    </w:tbl>
    <w:p/>
    <w:p>
      <w:pPr>
        <w:spacing w:before="160" w:after="80"/>
      </w:pPr>
      <w:r>
        <w:rPr>
          <w:b/>
          <w:color w:val="17365D"/>
          <w:sz w:val="28"/>
        </w:rPr>
        <w:t>5. Payment and Receipt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TC19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Valid amount + successful payment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Transaction recorded and receipt available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TC20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Payment declined/failed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Not marked successful; clear failure status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TC21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Successful payment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Receipt contains transaction/reference details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TC22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Unauthorized access attempt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Access denied; sensitive information not exposed</w:t>
            </w:r>
          </w:p>
        </w:tc>
      </w:tr>
    </w:tbl>
    <w:p/>
    <w:p>
      <w:pPr>
        <w:spacing w:before="160" w:after="80"/>
      </w:pPr>
      <w:r>
        <w:rPr>
          <w:b/>
          <w:color w:val="17365D"/>
          <w:sz w:val="28"/>
        </w:rPr>
        <w:t>6. Defect Log</w:t>
      </w:r>
    </w:p>
    <w:p>
      <w:r>
        <w:t>The following is explicitly marked as a worked example because the PS does not provide an actual executed test log.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6"/>
              </w:rPr>
              <w:t>Defect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  <w:sz w:val="16"/>
              </w:rPr>
              <w:t>Removed Before Release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5"/>
              </w:rPr>
              <w:t>D01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Incorrect rate-table selection for one assessment category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5"/>
              </w:rPr>
              <w:t>D02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Rebate condition not applied correctly for eligible case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5"/>
              </w:rPr>
              <w:t>D03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Failed payment response showed ambiguous status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5"/>
              </w:rPr>
              <w:t>D04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Critical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Unauthorized request exposed non-sensitive metadata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No</w:t>
            </w:r>
          </w:p>
        </w:tc>
      </w:tr>
    </w:tbl>
    <w:p/>
    <w:p>
      <w:pPr>
        <w:spacing w:before="160" w:after="80"/>
      </w:pPr>
      <w:r>
        <w:rPr>
          <w:b/>
          <w:color w:val="17365D"/>
          <w:sz w:val="28"/>
        </w:rPr>
        <w:t>7. Defect Density</w:t>
      </w:r>
    </w:p>
    <w:p>
      <w:r>
        <w:t>Worked-example test execution data: 22 executed tests and 4 defects found.</w:t>
      </w:r>
    </w:p>
    <w:p>
      <w:r>
        <w:t>Formula: Defect Density = Number of Defects / Number of Executed Test Cases</w:t>
      </w:r>
    </w:p>
    <w:p>
      <w:r>
        <w:t>= 4 / 22 = 0.1818 defects per test case ≈ 0.18 defects/test case.</w:t>
      </w:r>
    </w:p>
    <w:p>
      <w:pPr>
        <w:spacing w:before="160" w:after="80"/>
      </w:pPr>
      <w:r>
        <w:rPr>
          <w:b/>
          <w:color w:val="17365D"/>
          <w:sz w:val="28"/>
        </w:rPr>
        <w:t>8. Defect Removal Efficiency (DRE)</w:t>
      </w:r>
    </w:p>
    <w:p>
      <w:r>
        <w:t>Three of the four worked-example defects were removed before release.</w:t>
      </w:r>
    </w:p>
    <w:p>
      <w:r>
        <w:t>Formula: DRE = Defects Removed Before Release / Total Defects × 100</w:t>
      </w:r>
    </w:p>
    <w:p>
      <w:r>
        <w:t>= 3 / 4 × 100 = 75%.</w:t>
      </w:r>
    </w:p>
    <w:p>
      <w:pPr>
        <w:spacing w:before="160" w:after="80"/>
      </w:pPr>
      <w:r>
        <w:rPr>
          <w:b/>
          <w:color w:val="17365D"/>
          <w:sz w:val="28"/>
        </w:rPr>
        <w:t>9. Test Evidence and Traceability</w:t>
      </w:r>
    </w:p>
    <w:p>
      <w:r>
        <w:t>The accompanying Excel workbook contains the test-case register, decision table, defect log, quality metrics and a requirements-to-test traceability sheet. Each functional area is linked to one or more test cases.</w:t>
      </w:r>
    </w:p>
    <w:p>
      <w:pPr>
        <w:spacing w:before="160" w:after="80"/>
      </w:pPr>
      <w:r>
        <w:rPr>
          <w:b/>
          <w:color w:val="17365D"/>
          <w:sz w:val="28"/>
        </w:rPr>
        <w:t>10. Important Data Limitation</w:t>
      </w:r>
    </w:p>
    <w:p>
      <w:r>
        <w:t>The supplied case study does not provide: (1) numeric built-up-area boundaries, (2) numeric property-age boundaries, (3) exact rate-table values, (4) exact rebate eligibility rules, or (5) an actual executed test log. These items are not silently invented. Boundary cases use symbolic Min/Max values, rate/rebate tables use logical conditions, and the defect-density/DRE figures are clearly labelled as a worked example. Actual evidence should replace them if the faculty expects execution screenshots or real test results.</w:t>
      </w:r>
    </w:p>
    <w:p>
      <w:pPr>
        <w:spacing w:before="160" w:after="80"/>
      </w:pPr>
      <w:r>
        <w:rPr>
          <w:b/>
          <w:color w:val="17365D"/>
          <w:sz w:val="28"/>
        </w:rPr>
        <w:t>11. Conclusion</w:t>
      </w:r>
    </w:p>
    <w:p>
      <w:r>
        <w:t>The test plan covers the testing techniques and quality measures requested in Case Study 141. It provides BVA, equivalence-class testing, decision-table logic, functional tests, a defect register, defect-density calculation, DRE calculation and traceability in a structured format.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Ragini Singh • 150096724023 • Case Study 141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SOFTWARE ENGINEERING &amp; PROJECT MANAGEMENT  |  CASE STUDY 141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