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0"/>
        </w:rPr>
        <w:t>PROJECT PLAN</w:t>
        <w:br/>
      </w:r>
      <w:r>
        <w:rPr>
          <w:b/>
          <w:sz w:val="30"/>
        </w:rPr>
        <w:t>PropTax – Online Property Tax Self-Assessment and Payment Portal</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7"/>
              </w:rPr>
              <w:t>Field</w:t>
            </w:r>
          </w:p>
        </w:tc>
        <w:tc>
          <w:tcPr>
            <w:tcW w:type="dxa" w:w="5040"/>
            <w:vAlign w:val="center"/>
            <w:shd w:fill="17365D"/>
          </w:tcPr>
          <w:p>
            <w:r/>
            <w:r>
              <w:rPr>
                <w:b/>
                <w:color w:val="FFFFFF"/>
                <w:sz w:val="17"/>
              </w:rPr>
              <w:t>Details</w:t>
            </w:r>
          </w:p>
        </w:tc>
      </w:tr>
      <w:tr>
        <w:tc>
          <w:tcPr>
            <w:tcW w:type="dxa" w:w="5040"/>
            <w:vAlign w:val="center"/>
          </w:tcPr>
          <w:p>
            <w:r/>
            <w:r>
              <w:rPr>
                <w:b w:val="0"/>
                <w:color w:val="000000"/>
                <w:sz w:val="17"/>
              </w:rPr>
              <w:t>Student Name</w:t>
            </w:r>
          </w:p>
        </w:tc>
        <w:tc>
          <w:tcPr>
            <w:tcW w:type="dxa" w:w="5040"/>
            <w:vAlign w:val="center"/>
          </w:tcPr>
          <w:p>
            <w:r/>
            <w:r>
              <w:rPr>
                <w:b w:val="0"/>
                <w:color w:val="000000"/>
                <w:sz w:val="17"/>
              </w:rPr>
              <w:t>Ragini Singh</w:t>
            </w:r>
          </w:p>
        </w:tc>
      </w:tr>
      <w:tr>
        <w:tc>
          <w:tcPr>
            <w:tcW w:type="dxa" w:w="5040"/>
            <w:vAlign w:val="center"/>
          </w:tcPr>
          <w:p>
            <w:r/>
            <w:r>
              <w:rPr>
                <w:b w:val="0"/>
                <w:color w:val="000000"/>
                <w:sz w:val="17"/>
              </w:rPr>
              <w:t>Roll No.</w:t>
            </w:r>
          </w:p>
        </w:tc>
        <w:tc>
          <w:tcPr>
            <w:tcW w:type="dxa" w:w="5040"/>
            <w:vAlign w:val="center"/>
          </w:tcPr>
          <w:p>
            <w:r/>
            <w:r>
              <w:rPr>
                <w:b w:val="0"/>
                <w:color w:val="000000"/>
                <w:sz w:val="17"/>
              </w:rPr>
              <w:t>150096724023</w:t>
            </w:r>
          </w:p>
        </w:tc>
      </w:tr>
      <w:tr>
        <w:tc>
          <w:tcPr>
            <w:tcW w:type="dxa" w:w="5040"/>
            <w:vAlign w:val="center"/>
          </w:tcPr>
          <w:p>
            <w:r/>
            <w:r>
              <w:rPr>
                <w:b w:val="0"/>
                <w:color w:val="000000"/>
                <w:sz w:val="17"/>
              </w:rPr>
              <w:t>Case Study No.</w:t>
            </w:r>
          </w:p>
        </w:tc>
        <w:tc>
          <w:tcPr>
            <w:tcW w:type="dxa" w:w="5040"/>
            <w:vAlign w:val="center"/>
          </w:tcPr>
          <w:p>
            <w:r/>
            <w:r>
              <w:rPr>
                <w:b w:val="0"/>
                <w:color w:val="000000"/>
                <w:sz w:val="17"/>
              </w:rPr>
              <w:t>141</w:t>
            </w:r>
          </w:p>
        </w:tc>
      </w:tr>
      <w:tr>
        <w:tc>
          <w:tcPr>
            <w:tcW w:type="dxa" w:w="5040"/>
            <w:vAlign w:val="center"/>
          </w:tcPr>
          <w:p>
            <w:r/>
            <w:r>
              <w:rPr>
                <w:b w:val="0"/>
                <w:color w:val="000000"/>
                <w:sz w:val="17"/>
              </w:rPr>
              <w:t>Case Study Title</w:t>
            </w:r>
          </w:p>
        </w:tc>
        <w:tc>
          <w:tcPr>
            <w:tcW w:type="dxa" w:w="5040"/>
            <w:vAlign w:val="center"/>
          </w:tcPr>
          <w:p>
            <w:r/>
            <w:r>
              <w:rPr>
                <w:b w:val="0"/>
                <w:color w:val="000000"/>
                <w:sz w:val="17"/>
              </w:rPr>
              <w:t>PropTax – Online Property Tax Self-Assessment and Payment Portal</w:t>
            </w:r>
          </w:p>
        </w:tc>
      </w:tr>
      <w:tr>
        <w:tc>
          <w:tcPr>
            <w:tcW w:type="dxa" w:w="5040"/>
            <w:vAlign w:val="center"/>
          </w:tcPr>
          <w:p>
            <w:r/>
            <w:r>
              <w:rPr>
                <w:b w:val="0"/>
                <w:color w:val="000000"/>
                <w:sz w:val="17"/>
              </w:rPr>
              <w:t>Subject</w:t>
            </w:r>
          </w:p>
        </w:tc>
        <w:tc>
          <w:tcPr>
            <w:tcW w:type="dxa" w:w="5040"/>
            <w:vAlign w:val="center"/>
          </w:tcPr>
          <w:p>
            <w:r/>
            <w:r>
              <w:rPr>
                <w:b w:val="0"/>
                <w:color w:val="000000"/>
                <w:sz w:val="17"/>
              </w:rPr>
              <w:t>Software Engineering &amp; Project Management</w:t>
            </w:r>
          </w:p>
        </w:tc>
      </w:tr>
      <w:tr>
        <w:tc>
          <w:tcPr>
            <w:tcW w:type="dxa" w:w="5040"/>
            <w:vAlign w:val="center"/>
          </w:tcPr>
          <w:p>
            <w:r/>
            <w:r>
              <w:rPr>
                <w:b w:val="0"/>
                <w:color w:val="000000"/>
                <w:sz w:val="17"/>
              </w:rPr>
              <w:t>Semester</w:t>
            </w:r>
          </w:p>
        </w:tc>
        <w:tc>
          <w:tcPr>
            <w:tcW w:type="dxa" w:w="5040"/>
            <w:vAlign w:val="center"/>
          </w:tcPr>
          <w:p>
            <w:r/>
            <w:r>
              <w:rPr>
                <w:b w:val="0"/>
                <w:color w:val="000000"/>
                <w:sz w:val="17"/>
              </w:rPr>
              <w:t>V</w:t>
            </w:r>
          </w:p>
        </w:tc>
      </w:tr>
      <w:tr>
        <w:tc>
          <w:tcPr>
            <w:tcW w:type="dxa" w:w="5040"/>
            <w:vAlign w:val="center"/>
          </w:tcPr>
          <w:p>
            <w:r/>
            <w:r>
              <w:rPr>
                <w:b w:val="0"/>
                <w:color w:val="000000"/>
                <w:sz w:val="17"/>
              </w:rPr>
              <w:t>Examination</w:t>
            </w:r>
          </w:p>
        </w:tc>
        <w:tc>
          <w:tcPr>
            <w:tcW w:type="dxa" w:w="5040"/>
            <w:vAlign w:val="center"/>
          </w:tcPr>
          <w:p>
            <w:r/>
            <w:r>
              <w:rPr>
                <w:b w:val="0"/>
                <w:color w:val="000000"/>
                <w:sz w:val="17"/>
              </w:rPr>
              <w:t>Sprint 1 Examination</w:t>
            </w:r>
          </w:p>
        </w:tc>
      </w:tr>
      <w:tr>
        <w:tc>
          <w:tcPr>
            <w:tcW w:type="dxa" w:w="5040"/>
            <w:vAlign w:val="center"/>
          </w:tcPr>
          <w:p>
            <w:r/>
            <w:r>
              <w:rPr>
                <w:b w:val="0"/>
                <w:color w:val="000000"/>
                <w:sz w:val="17"/>
              </w:rPr>
              <w:t>Programme</w:t>
            </w:r>
          </w:p>
        </w:tc>
        <w:tc>
          <w:tcPr>
            <w:tcW w:type="dxa" w:w="5040"/>
            <w:vAlign w:val="center"/>
          </w:tcPr>
          <w:p>
            <w:r/>
            <w:r>
              <w:rPr>
                <w:b w:val="0"/>
                <w:color w:val="000000"/>
                <w:sz w:val="17"/>
              </w:rPr>
              <w:t>B.Tech Computer Science &amp; Engineering</w:t>
            </w:r>
          </w:p>
        </w:tc>
      </w:tr>
      <w:tr>
        <w:tc>
          <w:tcPr>
            <w:tcW w:type="dxa" w:w="5040"/>
            <w:vAlign w:val="center"/>
          </w:tcPr>
          <w:p>
            <w:r/>
            <w:r>
              <w:rPr>
                <w:b w:val="0"/>
                <w:color w:val="000000"/>
                <w:sz w:val="17"/>
              </w:rPr>
              <w:t>Batch</w:t>
            </w:r>
          </w:p>
        </w:tc>
        <w:tc>
          <w:tcPr>
            <w:tcW w:type="dxa" w:w="5040"/>
            <w:vAlign w:val="center"/>
          </w:tcPr>
          <w:p>
            <w:r/>
            <w:r>
              <w:rPr>
                <w:b w:val="0"/>
                <w:color w:val="000000"/>
                <w:sz w:val="17"/>
              </w:rPr>
              <w:t>2025–29</w:t>
            </w:r>
          </w:p>
        </w:tc>
      </w:tr>
      <w:tr>
        <w:tc>
          <w:tcPr>
            <w:tcW w:type="dxa" w:w="5040"/>
            <w:vAlign w:val="center"/>
          </w:tcPr>
          <w:p>
            <w:r/>
            <w:r>
              <w:rPr>
                <w:b w:val="0"/>
                <w:color w:val="000000"/>
                <w:sz w:val="17"/>
              </w:rPr>
              <w:t>Document</w:t>
            </w:r>
          </w:p>
        </w:tc>
        <w:tc>
          <w:tcPr>
            <w:tcW w:type="dxa" w:w="5040"/>
            <w:vAlign w:val="center"/>
          </w:tcPr>
          <w:p>
            <w:r/>
            <w:r>
              <w:rPr>
                <w:b w:val="0"/>
                <w:color w:val="000000"/>
                <w:sz w:val="17"/>
              </w:rPr>
              <w:t>Project Plan</w:t>
            </w:r>
          </w:p>
        </w:tc>
      </w:tr>
    </w:tbl>
    <w:p/>
    <w:p>
      <w:pPr>
        <w:spacing w:before="160" w:after="80"/>
      </w:pPr>
      <w:r>
        <w:rPr>
          <w:b/>
          <w:color w:val="17365D"/>
          <w:sz w:val="30"/>
        </w:rPr>
        <w:t>1. Purpose</w:t>
      </w:r>
    </w:p>
    <w:p>
      <w:r>
        <w:t>This project plan defines the work breakdown structure, dependency network, critical path, release schedule, milestones and role-based resource allocation for the PropTax case study. The plan uses the project data supplied in the case study.</w:t>
      </w:r>
    </w:p>
    <w:p>
      <w:pPr>
        <w:spacing w:before="160" w:after="80"/>
      </w:pPr>
      <w:r>
        <w:rPr>
          <w:b/>
          <w:color w:val="17365D"/>
          <w:sz w:val="30"/>
        </w:rPr>
        <w:t>2. Planning Basis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7"/>
              </w:rPr>
              <w:t>Given Project Data</w:t>
            </w:r>
          </w:p>
        </w:tc>
        <w:tc>
          <w:tcPr>
            <w:tcW w:type="dxa" w:w="5040"/>
            <w:vAlign w:val="center"/>
            <w:shd w:fill="17365D"/>
          </w:tcPr>
          <w:p>
            <w:r/>
            <w:r>
              <w:rPr>
                <w:b/>
                <w:color w:val="FFFFFF"/>
                <w:sz w:val="17"/>
              </w:rPr>
              <w:t>Value</w:t>
            </w:r>
          </w:p>
        </w:tc>
      </w:tr>
      <w:tr>
        <w:tc>
          <w:tcPr>
            <w:tcW w:type="dxa" w:w="5040"/>
            <w:vAlign w:val="center"/>
          </w:tcPr>
          <w:p>
            <w:r/>
            <w:r>
              <w:rPr>
                <w:b w:val="0"/>
                <w:color w:val="000000"/>
                <w:sz w:val="17"/>
              </w:rPr>
              <w:t>Search &amp; Calculator backlog</w:t>
            </w:r>
          </w:p>
        </w:tc>
        <w:tc>
          <w:tcPr>
            <w:tcW w:type="dxa" w:w="5040"/>
            <w:vAlign w:val="center"/>
          </w:tcPr>
          <w:p>
            <w:r/>
            <w:r>
              <w:rPr>
                <w:b w:val="0"/>
                <w:color w:val="000000"/>
                <w:sz w:val="17"/>
              </w:rPr>
              <w:t>34 story points</w:t>
            </w:r>
          </w:p>
        </w:tc>
      </w:tr>
      <w:tr>
        <w:tc>
          <w:tcPr>
            <w:tcW w:type="dxa" w:w="5040"/>
            <w:vAlign w:val="center"/>
          </w:tcPr>
          <w:p>
            <w:r/>
            <w:r>
              <w:rPr>
                <w:b w:val="0"/>
                <w:color w:val="000000"/>
                <w:sz w:val="17"/>
              </w:rPr>
              <w:t>Payment &amp; Receipts backlog</w:t>
            </w:r>
          </w:p>
        </w:tc>
        <w:tc>
          <w:tcPr>
            <w:tcW w:type="dxa" w:w="5040"/>
            <w:vAlign w:val="center"/>
          </w:tcPr>
          <w:p>
            <w:r/>
            <w:r>
              <w:rPr>
                <w:b w:val="0"/>
                <w:color w:val="000000"/>
                <w:sz w:val="17"/>
              </w:rPr>
              <w:t>21 story points</w:t>
            </w:r>
          </w:p>
        </w:tc>
      </w:tr>
      <w:tr>
        <w:tc>
          <w:tcPr>
            <w:tcW w:type="dxa" w:w="5040"/>
            <w:vAlign w:val="center"/>
          </w:tcPr>
          <w:p>
            <w:r/>
            <w:r>
              <w:rPr>
                <w:b w:val="0"/>
                <w:color w:val="000000"/>
                <w:sz w:val="17"/>
              </w:rPr>
              <w:t>Objections workflow backlog</w:t>
            </w:r>
          </w:p>
        </w:tc>
        <w:tc>
          <w:tcPr>
            <w:tcW w:type="dxa" w:w="5040"/>
            <w:vAlign w:val="center"/>
          </w:tcPr>
          <w:p>
            <w:r/>
            <w:r>
              <w:rPr>
                <w:b w:val="0"/>
                <w:color w:val="000000"/>
                <w:sz w:val="17"/>
              </w:rPr>
              <w:t>29 story points</w:t>
            </w:r>
          </w:p>
        </w:tc>
      </w:tr>
      <w:tr>
        <w:tc>
          <w:tcPr>
            <w:tcW w:type="dxa" w:w="5040"/>
            <w:vAlign w:val="center"/>
          </w:tcPr>
          <w:p>
            <w:r/>
            <w:r>
              <w:rPr>
                <w:b w:val="0"/>
                <w:color w:val="000000"/>
                <w:sz w:val="17"/>
              </w:rPr>
              <w:t>Velocity</w:t>
            </w:r>
          </w:p>
        </w:tc>
        <w:tc>
          <w:tcPr>
            <w:tcW w:type="dxa" w:w="5040"/>
            <w:vAlign w:val="center"/>
          </w:tcPr>
          <w:p>
            <w:r/>
            <w:r>
              <w:rPr>
                <w:b w:val="0"/>
                <w:color w:val="000000"/>
                <w:sz w:val="17"/>
              </w:rPr>
              <w:t>11 points per 2-week sprint</w:t>
            </w:r>
          </w:p>
        </w:tc>
      </w:tr>
      <w:tr>
        <w:tc>
          <w:tcPr>
            <w:tcW w:type="dxa" w:w="5040"/>
            <w:vAlign w:val="center"/>
          </w:tcPr>
          <w:p>
            <w:r/>
            <w:r>
              <w:rPr>
                <w:b w:val="0"/>
                <w:color w:val="000000"/>
                <w:sz w:val="17"/>
              </w:rPr>
              <w:t>Tax year starts</w:t>
            </w:r>
          </w:p>
        </w:tc>
        <w:tc>
          <w:tcPr>
            <w:tcW w:type="dxa" w:w="5040"/>
            <w:vAlign w:val="center"/>
          </w:tcPr>
          <w:p>
            <w:r/>
            <w:r>
              <w:rPr>
                <w:b w:val="0"/>
                <w:color w:val="000000"/>
                <w:sz w:val="17"/>
              </w:rPr>
              <w:t>16 weeks</w:t>
            </w:r>
          </w:p>
        </w:tc>
      </w:tr>
      <w:tr>
        <w:tc>
          <w:tcPr>
            <w:tcW w:type="dxa" w:w="5040"/>
            <w:vAlign w:val="center"/>
          </w:tcPr>
          <w:p>
            <w:r/>
            <w:r>
              <w:rPr>
                <w:b w:val="0"/>
                <w:color w:val="000000"/>
                <w:sz w:val="17"/>
              </w:rPr>
              <w:t>Online target</w:t>
            </w:r>
          </w:p>
        </w:tc>
        <w:tc>
          <w:tcPr>
            <w:tcW w:type="dxa" w:w="5040"/>
            <w:vAlign w:val="center"/>
          </w:tcPr>
          <w:p>
            <w:r/>
            <w:r>
              <w:rPr>
                <w:b w:val="0"/>
                <w:color w:val="000000"/>
                <w:sz w:val="17"/>
              </w:rPr>
              <w:t>35% of payments online in Year 1</w:t>
            </w:r>
          </w:p>
        </w:tc>
      </w:tr>
    </w:tbl>
    <w:p/>
    <w:p>
      <w:r>
        <w:t>For Release 1, the objection workflow is excluded based on the scope decision. Therefore, the planned Release 1 workload is 34 + 21 = 55 story points. At 11 points per 2-week sprint, the forecast is 55 / 11 = 5 sprints = 10 weeks.</w:t>
      </w:r>
    </w:p>
    <w:p>
      <w:pPr>
        <w:spacing w:before="160" w:after="80"/>
      </w:pPr>
      <w:r>
        <w:rPr>
          <w:b/>
          <w:color w:val="17365D"/>
          <w:sz w:val="30"/>
        </w:rPr>
        <w:t>3. Work Breakdown Structure (WBS)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7"/>
              </w:rPr>
              <w:t>WBS ID</w:t>
            </w:r>
          </w:p>
        </w:tc>
        <w:tc>
          <w:tcPr>
            <w:tcW w:type="dxa" w:w="3360"/>
            <w:vAlign w:val="center"/>
            <w:shd w:fill="17365D"/>
          </w:tcPr>
          <w:p>
            <w:r/>
            <w:r>
              <w:rPr>
                <w:b/>
                <w:color w:val="FFFFFF"/>
                <w:sz w:val="17"/>
              </w:rPr>
              <w:t>Work Package</w:t>
            </w:r>
          </w:p>
        </w:tc>
        <w:tc>
          <w:tcPr>
            <w:tcW w:type="dxa" w:w="3360"/>
            <w:vAlign w:val="center"/>
            <w:shd w:fill="17365D"/>
          </w:tcPr>
          <w:p>
            <w:r/>
            <w:r>
              <w:rPr>
                <w:b/>
                <w:color w:val="FFFFFF"/>
                <w:sz w:val="17"/>
              </w:rPr>
              <w:t>Main Activities</w:t>
            </w:r>
          </w:p>
        </w:tc>
      </w:tr>
      <w:tr>
        <w:tc>
          <w:tcPr>
            <w:tcW w:type="dxa" w:w="3360"/>
            <w:vAlign w:val="center"/>
          </w:tcPr>
          <w:p>
            <w:r/>
            <w:r>
              <w:rPr>
                <w:b w:val="0"/>
                <w:color w:val="000000"/>
                <w:sz w:val="17"/>
              </w:rPr>
              <w:t>1.0</w:t>
            </w:r>
          </w:p>
        </w:tc>
        <w:tc>
          <w:tcPr>
            <w:tcW w:type="dxa" w:w="3360"/>
            <w:vAlign w:val="center"/>
          </w:tcPr>
          <w:p>
            <w:r/>
            <w:r>
              <w:rPr>
                <w:b w:val="0"/>
                <w:color w:val="000000"/>
                <w:sz w:val="17"/>
              </w:rPr>
              <w:t>Project &amp; Requirements</w:t>
            </w:r>
          </w:p>
        </w:tc>
        <w:tc>
          <w:tcPr>
            <w:tcW w:type="dxa" w:w="3360"/>
            <w:vAlign w:val="center"/>
          </w:tcPr>
          <w:p>
            <w:r/>
            <w:r>
              <w:rPr>
                <w:b w:val="0"/>
                <w:color w:val="000000"/>
                <w:sz w:val="17"/>
              </w:rPr>
              <w:t>Understand problem, stakeholders, scope, requirements and acceptance needs.</w:t>
            </w:r>
          </w:p>
        </w:tc>
      </w:tr>
      <w:tr>
        <w:tc>
          <w:tcPr>
            <w:tcW w:type="dxa" w:w="3360"/>
            <w:vAlign w:val="center"/>
          </w:tcPr>
          <w:p>
            <w:r/>
            <w:r>
              <w:rPr>
                <w:b w:val="0"/>
                <w:color w:val="000000"/>
                <w:sz w:val="17"/>
              </w:rPr>
              <w:t>1.1</w:t>
            </w:r>
          </w:p>
        </w:tc>
        <w:tc>
          <w:tcPr>
            <w:tcW w:type="dxa" w:w="3360"/>
            <w:vAlign w:val="center"/>
          </w:tcPr>
          <w:p>
            <w:r/>
            <w:r>
              <w:rPr>
                <w:b w:val="0"/>
                <w:color w:val="000000"/>
                <w:sz w:val="17"/>
              </w:rPr>
              <w:t>Requirements &amp; Scope</w:t>
            </w:r>
          </w:p>
        </w:tc>
        <w:tc>
          <w:tcPr>
            <w:tcW w:type="dxa" w:w="3360"/>
            <w:vAlign w:val="center"/>
          </w:tcPr>
          <w:p>
            <w:r/>
            <w:r>
              <w:rPr>
                <w:b w:val="0"/>
                <w:color w:val="000000"/>
                <w:sz w:val="17"/>
              </w:rPr>
              <w:t>Define functional requirements, NFRs, MoSCoW and Release 1 boundary.</w:t>
            </w:r>
          </w:p>
        </w:tc>
      </w:tr>
      <w:tr>
        <w:tc>
          <w:tcPr>
            <w:tcW w:type="dxa" w:w="3360"/>
            <w:vAlign w:val="center"/>
          </w:tcPr>
          <w:p>
            <w:r/>
            <w:r>
              <w:rPr>
                <w:b w:val="0"/>
                <w:color w:val="000000"/>
                <w:sz w:val="17"/>
              </w:rPr>
              <w:t>2.0</w:t>
            </w:r>
          </w:p>
        </w:tc>
        <w:tc>
          <w:tcPr>
            <w:tcW w:type="dxa" w:w="3360"/>
            <w:vAlign w:val="center"/>
          </w:tcPr>
          <w:p>
            <w:r/>
            <w:r>
              <w:rPr>
                <w:b w:val="0"/>
                <w:color w:val="000000"/>
                <w:sz w:val="17"/>
              </w:rPr>
              <w:t>Search &amp; Self-Assessment</w:t>
            </w:r>
          </w:p>
        </w:tc>
        <w:tc>
          <w:tcPr>
            <w:tcW w:type="dxa" w:w="3360"/>
            <w:vAlign w:val="center"/>
          </w:tcPr>
          <w:p>
            <w:r/>
            <w:r>
              <w:rPr>
                <w:b w:val="0"/>
                <w:color w:val="000000"/>
                <w:sz w:val="17"/>
              </w:rPr>
              <w:t>Property search, property details, assessment input and validation.</w:t>
            </w:r>
          </w:p>
        </w:tc>
      </w:tr>
      <w:tr>
        <w:tc>
          <w:tcPr>
            <w:tcW w:type="dxa" w:w="3360"/>
            <w:vAlign w:val="center"/>
          </w:tcPr>
          <w:p>
            <w:r/>
            <w:r>
              <w:rPr>
                <w:b w:val="0"/>
                <w:color w:val="000000"/>
                <w:sz w:val="17"/>
              </w:rPr>
              <w:t>2.1</w:t>
            </w:r>
          </w:p>
        </w:tc>
        <w:tc>
          <w:tcPr>
            <w:tcW w:type="dxa" w:w="3360"/>
            <w:vAlign w:val="center"/>
          </w:tcPr>
          <w:p>
            <w:r/>
            <w:r>
              <w:rPr>
                <w:b w:val="0"/>
                <w:color w:val="000000"/>
                <w:sz w:val="17"/>
              </w:rPr>
              <w:t>Property Search</w:t>
            </w:r>
          </w:p>
        </w:tc>
        <w:tc>
          <w:tcPr>
            <w:tcW w:type="dxa" w:w="3360"/>
            <w:vAlign w:val="center"/>
          </w:tcPr>
          <w:p>
            <w:r/>
            <w:r>
              <w:rPr>
                <w:b w:val="0"/>
                <w:color w:val="000000"/>
                <w:sz w:val="17"/>
              </w:rPr>
              <w:t>Search and retrieve property information.</w:t>
            </w:r>
          </w:p>
        </w:tc>
      </w:tr>
      <w:tr>
        <w:tc>
          <w:tcPr>
            <w:tcW w:type="dxa" w:w="3360"/>
            <w:vAlign w:val="center"/>
          </w:tcPr>
          <w:p>
            <w:r/>
            <w:r>
              <w:rPr>
                <w:b w:val="0"/>
                <w:color w:val="000000"/>
                <w:sz w:val="17"/>
              </w:rPr>
              <w:t>2.2</w:t>
            </w:r>
          </w:p>
        </w:tc>
        <w:tc>
          <w:tcPr>
            <w:tcW w:type="dxa" w:w="3360"/>
            <w:vAlign w:val="center"/>
          </w:tcPr>
          <w:p>
            <w:r/>
            <w:r>
              <w:rPr>
                <w:b w:val="0"/>
                <w:color w:val="000000"/>
                <w:sz w:val="17"/>
              </w:rPr>
              <w:t>Self-Assessment</w:t>
            </w:r>
          </w:p>
        </w:tc>
        <w:tc>
          <w:tcPr>
            <w:tcW w:type="dxa" w:w="3360"/>
            <w:vAlign w:val="center"/>
          </w:tcPr>
          <w:p>
            <w:r/>
            <w:r>
              <w:rPr>
                <w:b w:val="0"/>
                <w:color w:val="000000"/>
                <w:sz w:val="17"/>
              </w:rPr>
              <w:t>Capture built-up area, property age and other assessment inputs.</w:t>
            </w:r>
          </w:p>
        </w:tc>
      </w:tr>
      <w:tr>
        <w:tc>
          <w:tcPr>
            <w:tcW w:type="dxa" w:w="3360"/>
            <w:vAlign w:val="center"/>
          </w:tcPr>
          <w:p>
            <w:r/>
            <w:r>
              <w:rPr>
                <w:b w:val="0"/>
                <w:color w:val="000000"/>
                <w:sz w:val="17"/>
              </w:rPr>
              <w:t>2.3</w:t>
            </w:r>
          </w:p>
        </w:tc>
        <w:tc>
          <w:tcPr>
            <w:tcW w:type="dxa" w:w="3360"/>
            <w:vAlign w:val="center"/>
          </w:tcPr>
          <w:p>
            <w:r/>
            <w:r>
              <w:rPr>
                <w:b w:val="0"/>
                <w:color w:val="000000"/>
                <w:sz w:val="17"/>
              </w:rPr>
              <w:t>Tax Calculator</w:t>
            </w:r>
          </w:p>
        </w:tc>
        <w:tc>
          <w:tcPr>
            <w:tcW w:type="dxa" w:w="3360"/>
            <w:vAlign w:val="center"/>
          </w:tcPr>
          <w:p>
            <w:r/>
            <w:r>
              <w:rPr>
                <w:b w:val="0"/>
                <w:color w:val="000000"/>
                <w:sz w:val="17"/>
              </w:rPr>
              <w:t>Apply rate-table and rebate rules and calculate tax.</w:t>
            </w:r>
          </w:p>
        </w:tc>
      </w:tr>
      <w:tr>
        <w:tc>
          <w:tcPr>
            <w:tcW w:type="dxa" w:w="3360"/>
            <w:vAlign w:val="center"/>
          </w:tcPr>
          <w:p>
            <w:r/>
            <w:r>
              <w:rPr>
                <w:b w:val="0"/>
                <w:color w:val="000000"/>
                <w:sz w:val="17"/>
              </w:rPr>
              <w:t>3.0</w:t>
            </w:r>
          </w:p>
        </w:tc>
        <w:tc>
          <w:tcPr>
            <w:tcW w:type="dxa" w:w="3360"/>
            <w:vAlign w:val="center"/>
          </w:tcPr>
          <w:p>
            <w:r/>
            <w:r>
              <w:rPr>
                <w:b w:val="0"/>
                <w:color w:val="000000"/>
                <w:sz w:val="17"/>
              </w:rPr>
              <w:t>Payment &amp; Receipts</w:t>
            </w:r>
          </w:p>
        </w:tc>
        <w:tc>
          <w:tcPr>
            <w:tcW w:type="dxa" w:w="3360"/>
            <w:vAlign w:val="center"/>
          </w:tcPr>
          <w:p>
            <w:r/>
            <w:r>
              <w:rPr>
                <w:b w:val="0"/>
                <w:color w:val="000000"/>
                <w:sz w:val="17"/>
              </w:rPr>
              <w:t>Online payment, transaction recording and receipt generation.</w:t>
            </w:r>
          </w:p>
        </w:tc>
      </w:tr>
      <w:tr>
        <w:tc>
          <w:tcPr>
            <w:tcW w:type="dxa" w:w="3360"/>
            <w:vAlign w:val="center"/>
          </w:tcPr>
          <w:p>
            <w:r/>
            <w:r>
              <w:rPr>
                <w:b w:val="0"/>
                <w:color w:val="000000"/>
                <w:sz w:val="17"/>
              </w:rPr>
              <w:t>3.1</w:t>
            </w:r>
          </w:p>
        </w:tc>
        <w:tc>
          <w:tcPr>
            <w:tcW w:type="dxa" w:w="3360"/>
            <w:vAlign w:val="center"/>
          </w:tcPr>
          <w:p>
            <w:r/>
            <w:r>
              <w:rPr>
                <w:b w:val="0"/>
                <w:color w:val="000000"/>
                <w:sz w:val="17"/>
              </w:rPr>
              <w:t>Payment</w:t>
            </w:r>
          </w:p>
        </w:tc>
        <w:tc>
          <w:tcPr>
            <w:tcW w:type="dxa" w:w="3360"/>
            <w:vAlign w:val="center"/>
          </w:tcPr>
          <w:p>
            <w:r/>
            <w:r>
              <w:rPr>
                <w:b w:val="0"/>
                <w:color w:val="000000"/>
                <w:sz w:val="17"/>
              </w:rPr>
              <w:t>Initiate and confirm online payment.</w:t>
            </w:r>
          </w:p>
        </w:tc>
      </w:tr>
      <w:tr>
        <w:tc>
          <w:tcPr>
            <w:tcW w:type="dxa" w:w="3360"/>
            <w:vAlign w:val="center"/>
          </w:tcPr>
          <w:p>
            <w:r/>
            <w:r>
              <w:rPr>
                <w:b w:val="0"/>
                <w:color w:val="000000"/>
                <w:sz w:val="17"/>
              </w:rPr>
              <w:t>3.2</w:t>
            </w:r>
          </w:p>
        </w:tc>
        <w:tc>
          <w:tcPr>
            <w:tcW w:type="dxa" w:w="3360"/>
            <w:vAlign w:val="center"/>
          </w:tcPr>
          <w:p>
            <w:r/>
            <w:r>
              <w:rPr>
                <w:b w:val="0"/>
                <w:color w:val="000000"/>
                <w:sz w:val="17"/>
              </w:rPr>
              <w:t>Receipt</w:t>
            </w:r>
          </w:p>
        </w:tc>
        <w:tc>
          <w:tcPr>
            <w:tcW w:type="dxa" w:w="3360"/>
            <w:vAlign w:val="center"/>
          </w:tcPr>
          <w:p>
            <w:r/>
            <w:r>
              <w:rPr>
                <w:b w:val="0"/>
                <w:color w:val="000000"/>
                <w:sz w:val="17"/>
              </w:rPr>
              <w:t>Generate payment receipt after successful payment.</w:t>
            </w:r>
          </w:p>
        </w:tc>
      </w:tr>
      <w:tr>
        <w:tc>
          <w:tcPr>
            <w:tcW w:type="dxa" w:w="3360"/>
            <w:vAlign w:val="center"/>
          </w:tcPr>
          <w:p>
            <w:r/>
            <w:r>
              <w:rPr>
                <w:b w:val="0"/>
                <w:color w:val="000000"/>
                <w:sz w:val="17"/>
              </w:rPr>
              <w:t>4.0</w:t>
            </w:r>
          </w:p>
        </w:tc>
        <w:tc>
          <w:tcPr>
            <w:tcW w:type="dxa" w:w="3360"/>
            <w:vAlign w:val="center"/>
          </w:tcPr>
          <w:p>
            <w:r/>
            <w:r>
              <w:rPr>
                <w:b w:val="0"/>
                <w:color w:val="000000"/>
                <w:sz w:val="17"/>
              </w:rPr>
              <w:t>Quality &amp; Integration</w:t>
            </w:r>
          </w:p>
        </w:tc>
        <w:tc>
          <w:tcPr>
            <w:tcW w:type="dxa" w:w="3360"/>
            <w:vAlign w:val="center"/>
          </w:tcPr>
          <w:p>
            <w:r/>
            <w:r>
              <w:rPr>
                <w:b w:val="0"/>
                <w:color w:val="000000"/>
                <w:sz w:val="17"/>
              </w:rPr>
              <w:t>Integration, validation, test evidence and defect handling.</w:t>
            </w:r>
          </w:p>
        </w:tc>
      </w:tr>
      <w:tr>
        <w:tc>
          <w:tcPr>
            <w:tcW w:type="dxa" w:w="3360"/>
            <w:vAlign w:val="center"/>
          </w:tcPr>
          <w:p>
            <w:r/>
            <w:r>
              <w:rPr>
                <w:b w:val="0"/>
                <w:color w:val="000000"/>
                <w:sz w:val="17"/>
              </w:rPr>
              <w:t>4.1</w:t>
            </w:r>
          </w:p>
        </w:tc>
        <w:tc>
          <w:tcPr>
            <w:tcW w:type="dxa" w:w="3360"/>
            <w:vAlign w:val="center"/>
          </w:tcPr>
          <w:p>
            <w:r/>
            <w:r>
              <w:rPr>
                <w:b w:val="0"/>
                <w:color w:val="000000"/>
                <w:sz w:val="17"/>
              </w:rPr>
              <w:t>Testing</w:t>
            </w:r>
          </w:p>
        </w:tc>
        <w:tc>
          <w:tcPr>
            <w:tcW w:type="dxa" w:w="3360"/>
            <w:vAlign w:val="center"/>
          </w:tcPr>
          <w:p>
            <w:r/>
            <w:r>
              <w:rPr>
                <w:b w:val="0"/>
                <w:color w:val="000000"/>
                <w:sz w:val="17"/>
              </w:rPr>
              <w:t>Boundary-value, equivalence-class and decision-table testing.</w:t>
            </w:r>
          </w:p>
        </w:tc>
      </w:tr>
      <w:tr>
        <w:tc>
          <w:tcPr>
            <w:tcW w:type="dxa" w:w="3360"/>
            <w:vAlign w:val="center"/>
          </w:tcPr>
          <w:p>
            <w:r/>
            <w:r>
              <w:rPr>
                <w:b w:val="0"/>
                <w:color w:val="000000"/>
                <w:sz w:val="17"/>
              </w:rPr>
              <w:t>4.2</w:t>
            </w:r>
          </w:p>
        </w:tc>
        <w:tc>
          <w:tcPr>
            <w:tcW w:type="dxa" w:w="3360"/>
            <w:vAlign w:val="center"/>
          </w:tcPr>
          <w:p>
            <w:r/>
            <w:r>
              <w:rPr>
                <w:b w:val="0"/>
                <w:color w:val="000000"/>
                <w:sz w:val="17"/>
              </w:rPr>
              <w:t>Release Validation</w:t>
            </w:r>
          </w:p>
        </w:tc>
        <w:tc>
          <w:tcPr>
            <w:tcW w:type="dxa" w:w="3360"/>
            <w:vAlign w:val="center"/>
          </w:tcPr>
          <w:p>
            <w:r/>
            <w:r>
              <w:rPr>
                <w:b w:val="0"/>
                <w:color w:val="000000"/>
                <w:sz w:val="17"/>
              </w:rPr>
              <w:t>Validate critical workflows and release readiness.</w:t>
            </w:r>
          </w:p>
        </w:tc>
      </w:tr>
      <w:tr>
        <w:tc>
          <w:tcPr>
            <w:tcW w:type="dxa" w:w="3360"/>
            <w:vAlign w:val="center"/>
          </w:tcPr>
          <w:p>
            <w:r/>
            <w:r>
              <w:rPr>
                <w:b w:val="0"/>
                <w:color w:val="000000"/>
                <w:sz w:val="17"/>
              </w:rPr>
              <w:t>5.0</w:t>
            </w:r>
          </w:p>
        </w:tc>
        <w:tc>
          <w:tcPr>
            <w:tcW w:type="dxa" w:w="3360"/>
            <w:vAlign w:val="center"/>
          </w:tcPr>
          <w:p>
            <w:r/>
            <w:r>
              <w:rPr>
                <w:b w:val="0"/>
                <w:color w:val="000000"/>
                <w:sz w:val="17"/>
              </w:rPr>
              <w:t>Release 1</w:t>
            </w:r>
          </w:p>
        </w:tc>
        <w:tc>
          <w:tcPr>
            <w:tcW w:type="dxa" w:w="3360"/>
            <w:vAlign w:val="center"/>
          </w:tcPr>
          <w:p>
            <w:r/>
            <w:r>
              <w:rPr>
                <w:b w:val="0"/>
                <w:color w:val="000000"/>
                <w:sz w:val="17"/>
              </w:rPr>
              <w:t>Deploy the core search, assessment, calculation, payment and receipt scope.</w:t>
            </w:r>
          </w:p>
        </w:tc>
      </w:tr>
    </w:tbl>
    <w:p/>
    <w:p>
      <w:pPr>
        <w:spacing w:before="160" w:after="80"/>
      </w:pPr>
      <w:r>
        <w:rPr>
          <w:b/>
          <w:color w:val="17365D"/>
          <w:sz w:val="30"/>
        </w:rPr>
        <w:t>4. Network Diagram and Critical Path</w:t>
      </w:r>
    </w:p>
    <w:p>
      <w:r>
        <w:t>The main sequential dependency for Release 1 is requirements and scope → property search and data → self-assessment validation → tax calculation and rebate → payment integration → receipt and acceptance. This is treated as the critical path for the release because each stage depends on the preceding stage.</w:t>
      </w:r>
    </w:p>
    <w:p>
      <w:pPr>
        <w:jc w:val="center"/>
      </w:pPr>
      <w:r>
        <w:drawing>
          <wp:inline xmlns:a="http://schemas.openxmlformats.org/drawingml/2006/main" xmlns:pic="http://schemas.openxmlformats.org/drawingml/2006/picture">
            <wp:extent cx="6035040" cy="2584835"/>
            <wp:docPr id="1" name="Picture 1"/>
            <wp:cNvGraphicFramePr>
              <a:graphicFrameLocks noChangeAspect="1"/>
            </wp:cNvGraphicFramePr>
            <a:graphic>
              <a:graphicData uri="http://schemas.openxmlformats.org/drawingml/2006/picture">
                <pic:pic>
                  <pic:nvPicPr>
                    <pic:cNvPr id="0" name="project_network_141.png"/>
                    <pic:cNvPicPr/>
                  </pic:nvPicPr>
                  <pic:blipFill>
                    <a:blip r:embed="rId11"/>
                    <a:stretch>
                      <a:fillRect/>
                    </a:stretch>
                  </pic:blipFill>
                  <pic:spPr>
                    <a:xfrm>
                      <a:off x="0" y="0"/>
                      <a:ext cx="6035040" cy="2584835"/>
                    </a:xfrm>
                    <a:prstGeom prst="rect"/>
                  </pic:spPr>
                </pic:pic>
              </a:graphicData>
            </a:graphic>
          </wp:inline>
        </w:drawing>
      </w:r>
    </w:p>
    <w:p>
      <w:pPr>
        <w:spacing w:before="160" w:after="80"/>
      </w:pPr>
      <w:r>
        <w:rPr>
          <w:b/>
          <w:color w:val="17365D"/>
          <w:sz w:val="30"/>
        </w:rPr>
        <w:t>5. Critical Path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7"/>
              </w:rPr>
              <w:t>Sequence</w:t>
            </w:r>
          </w:p>
        </w:tc>
        <w:tc>
          <w:tcPr>
            <w:tcW w:type="dxa" w:w="5040"/>
            <w:vAlign w:val="center"/>
            <w:shd w:fill="17365D"/>
          </w:tcPr>
          <w:p>
            <w:r/>
            <w:r>
              <w:rPr>
                <w:b/>
                <w:color w:val="FFFFFF"/>
                <w:sz w:val="17"/>
              </w:rPr>
              <w:t>Dependency</w:t>
            </w:r>
          </w:p>
        </w:tc>
      </w:tr>
      <w:tr>
        <w:tc>
          <w:tcPr>
            <w:tcW w:type="dxa" w:w="5040"/>
            <w:vAlign w:val="center"/>
          </w:tcPr>
          <w:p>
            <w:r/>
            <w:r>
              <w:rPr>
                <w:b w:val="0"/>
                <w:color w:val="000000"/>
                <w:sz w:val="17"/>
              </w:rPr>
              <w:t>1</w:t>
            </w:r>
          </w:p>
        </w:tc>
        <w:tc>
          <w:tcPr>
            <w:tcW w:type="dxa" w:w="5040"/>
            <w:vAlign w:val="center"/>
          </w:tcPr>
          <w:p>
            <w:r/>
            <w:r>
              <w:rPr>
                <w:b w:val="0"/>
                <w:color w:val="000000"/>
                <w:sz w:val="17"/>
              </w:rPr>
              <w:t>Requirements and scope must be defined before detailed implementation.</w:t>
            </w:r>
          </w:p>
        </w:tc>
      </w:tr>
      <w:tr>
        <w:tc>
          <w:tcPr>
            <w:tcW w:type="dxa" w:w="5040"/>
            <w:vAlign w:val="center"/>
          </w:tcPr>
          <w:p>
            <w:r/>
            <w:r>
              <w:rPr>
                <w:b w:val="0"/>
                <w:color w:val="000000"/>
                <w:sz w:val="17"/>
              </w:rPr>
              <w:t>2</w:t>
            </w:r>
          </w:p>
        </w:tc>
        <w:tc>
          <w:tcPr>
            <w:tcW w:type="dxa" w:w="5040"/>
            <w:vAlign w:val="center"/>
          </w:tcPr>
          <w:p>
            <w:r/>
            <w:r>
              <w:rPr>
                <w:b w:val="0"/>
                <w:color w:val="000000"/>
                <w:sz w:val="17"/>
              </w:rPr>
              <w:t>Property search/data must be available before self-assessment can use property information.</w:t>
            </w:r>
          </w:p>
        </w:tc>
      </w:tr>
      <w:tr>
        <w:tc>
          <w:tcPr>
            <w:tcW w:type="dxa" w:w="5040"/>
            <w:vAlign w:val="center"/>
          </w:tcPr>
          <w:p>
            <w:r/>
            <w:r>
              <w:rPr>
                <w:b w:val="0"/>
                <w:color w:val="000000"/>
                <w:sz w:val="17"/>
              </w:rPr>
              <w:t>3</w:t>
            </w:r>
          </w:p>
        </w:tc>
        <w:tc>
          <w:tcPr>
            <w:tcW w:type="dxa" w:w="5040"/>
            <w:vAlign w:val="center"/>
          </w:tcPr>
          <w:p>
            <w:r/>
            <w:r>
              <w:rPr>
                <w:b w:val="0"/>
                <w:color w:val="000000"/>
                <w:sz w:val="17"/>
              </w:rPr>
              <w:t>Validated assessment data is required before reliable tax calculation.</w:t>
            </w:r>
          </w:p>
        </w:tc>
      </w:tr>
      <w:tr>
        <w:tc>
          <w:tcPr>
            <w:tcW w:type="dxa" w:w="5040"/>
            <w:vAlign w:val="center"/>
          </w:tcPr>
          <w:p>
            <w:r/>
            <w:r>
              <w:rPr>
                <w:b w:val="0"/>
                <w:color w:val="000000"/>
                <w:sz w:val="17"/>
              </w:rPr>
              <w:t>4</w:t>
            </w:r>
          </w:p>
        </w:tc>
        <w:tc>
          <w:tcPr>
            <w:tcW w:type="dxa" w:w="5040"/>
            <w:vAlign w:val="center"/>
          </w:tcPr>
          <w:p>
            <w:r/>
            <w:r>
              <w:rPr>
                <w:b w:val="0"/>
                <w:color w:val="000000"/>
                <w:sz w:val="17"/>
              </w:rPr>
              <w:t>Calculated payable tax is required before payment.</w:t>
            </w:r>
          </w:p>
        </w:tc>
      </w:tr>
      <w:tr>
        <w:tc>
          <w:tcPr>
            <w:tcW w:type="dxa" w:w="5040"/>
            <w:vAlign w:val="center"/>
          </w:tcPr>
          <w:p>
            <w:r/>
            <w:r>
              <w:rPr>
                <w:b w:val="0"/>
                <w:color w:val="000000"/>
                <w:sz w:val="17"/>
              </w:rPr>
              <w:t>5</w:t>
            </w:r>
          </w:p>
        </w:tc>
        <w:tc>
          <w:tcPr>
            <w:tcW w:type="dxa" w:w="5040"/>
            <w:vAlign w:val="center"/>
          </w:tcPr>
          <w:p>
            <w:r/>
            <w:r>
              <w:rPr>
                <w:b w:val="0"/>
                <w:color w:val="000000"/>
                <w:sz w:val="17"/>
              </w:rPr>
              <w:t>Successful payment is required before the receipt is issued.</w:t>
            </w:r>
          </w:p>
        </w:tc>
      </w:tr>
    </w:tbl>
    <w:p/>
    <w:p>
      <w:r>
        <w:t>Note: The case study provides story points and velocity, but it does not provide separate calendar durations for each individual activity. Therefore, the critical path is presented as a dependency path rather than as an independently calculated activity-duration CPM.</w:t>
      </w:r>
    </w:p>
    <w:p>
      <w:pPr>
        <w:spacing w:before="160" w:after="80"/>
      </w:pPr>
      <w:r>
        <w:rPr>
          <w:b/>
          <w:color w:val="17365D"/>
          <w:sz w:val="30"/>
        </w:rPr>
        <w:t>6. Gantt Chart</w:t>
      </w:r>
    </w:p>
    <w:p>
      <w:r>
        <w:t>The Release 1 forecast is 5 two-week sprints, giving a 10-week schedule. The chart below shows the planned sequence using project weeks because the case study does not provide a project start date.</w:t>
      </w:r>
    </w:p>
    <w:p>
      <w:pPr>
        <w:jc w:val="center"/>
      </w:pPr>
      <w:r>
        <w:drawing>
          <wp:inline xmlns:a="http://schemas.openxmlformats.org/drawingml/2006/main" xmlns:pic="http://schemas.openxmlformats.org/drawingml/2006/picture">
            <wp:extent cx="5943600" cy="3074490"/>
            <wp:docPr id="2" name="Picture 2"/>
            <wp:cNvGraphicFramePr>
              <a:graphicFrameLocks noChangeAspect="1"/>
            </wp:cNvGraphicFramePr>
            <a:graphic>
              <a:graphicData uri="http://schemas.openxmlformats.org/drawingml/2006/picture">
                <pic:pic>
                  <pic:nvPicPr>
                    <pic:cNvPr id="0" name="project_gantt_141.png"/>
                    <pic:cNvPicPr/>
                  </pic:nvPicPr>
                  <pic:blipFill>
                    <a:blip r:embed="rId12"/>
                    <a:stretch>
                      <a:fillRect/>
                    </a:stretch>
                  </pic:blipFill>
                  <pic:spPr>
                    <a:xfrm>
                      <a:off x="0" y="0"/>
                      <a:ext cx="5943600" cy="3074490"/>
                    </a:xfrm>
                    <a:prstGeom prst="rect"/>
                  </pic:spPr>
                </pic:pic>
              </a:graphicData>
            </a:graphic>
          </wp:inline>
        </w:drawing>
      </w:r>
    </w:p>
    <w:p>
      <w:pPr>
        <w:spacing w:before="160" w:after="80"/>
      </w:pPr>
      <w:r>
        <w:rPr>
          <w:b/>
          <w:color w:val="17365D"/>
          <w:sz w:val="30"/>
        </w:rPr>
        <w:t>7. Sprint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r/>
            <w:r>
              <w:rPr>
                <w:b/>
                <w:color w:val="FFFFFF"/>
                <w:sz w:val="17"/>
              </w:rPr>
              <w:t>Sprint</w:t>
            </w:r>
          </w:p>
        </w:tc>
        <w:tc>
          <w:tcPr>
            <w:tcW w:type="dxa" w:w="2520"/>
            <w:vAlign w:val="center"/>
            <w:shd w:fill="17365D"/>
          </w:tcPr>
          <w:p>
            <w:r/>
            <w:r>
              <w:rPr>
                <w:b/>
                <w:color w:val="FFFFFF"/>
                <w:sz w:val="17"/>
              </w:rPr>
              <w:t>Weeks</w:t>
            </w:r>
          </w:p>
        </w:tc>
        <w:tc>
          <w:tcPr>
            <w:tcW w:type="dxa" w:w="2520"/>
            <w:vAlign w:val="center"/>
            <w:shd w:fill="17365D"/>
          </w:tcPr>
          <w:p>
            <w:r/>
            <w:r>
              <w:rPr>
                <w:b/>
                <w:color w:val="FFFFFF"/>
                <w:sz w:val="17"/>
              </w:rPr>
              <w:t>Planned Focus</w:t>
            </w:r>
          </w:p>
        </w:tc>
        <w:tc>
          <w:tcPr>
            <w:tcW w:type="dxa" w:w="2520"/>
            <w:vAlign w:val="center"/>
            <w:shd w:fill="17365D"/>
          </w:tcPr>
          <w:p>
            <w:r/>
            <w:r>
              <w:rPr>
                <w:b/>
                <w:color w:val="FFFFFF"/>
                <w:sz w:val="17"/>
              </w:rPr>
              <w:t>Output</w:t>
            </w:r>
          </w:p>
        </w:tc>
      </w:tr>
      <w:tr>
        <w:tc>
          <w:tcPr>
            <w:tcW w:type="dxa" w:w="2520"/>
            <w:vAlign w:val="center"/>
          </w:tcPr>
          <w:p>
            <w:r/>
            <w:r>
              <w:rPr>
                <w:b w:val="0"/>
                <w:color w:val="000000"/>
                <w:sz w:val="17"/>
              </w:rPr>
              <w:t>Sprint 1</w:t>
            </w:r>
          </w:p>
        </w:tc>
        <w:tc>
          <w:tcPr>
            <w:tcW w:type="dxa" w:w="2520"/>
            <w:vAlign w:val="center"/>
          </w:tcPr>
          <w:p>
            <w:r/>
            <w:r>
              <w:rPr>
                <w:b w:val="0"/>
                <w:color w:val="000000"/>
                <w:sz w:val="17"/>
              </w:rPr>
              <w:t>1–2</w:t>
            </w:r>
          </w:p>
        </w:tc>
        <w:tc>
          <w:tcPr>
            <w:tcW w:type="dxa" w:w="2520"/>
            <w:vAlign w:val="center"/>
          </w:tcPr>
          <w:p>
            <w:r/>
            <w:r>
              <w:rPr>
                <w:b w:val="0"/>
                <w:color w:val="000000"/>
                <w:sz w:val="17"/>
              </w:rPr>
              <w:t>Requirements, scope, SRS/UML planning</w:t>
            </w:r>
          </w:p>
        </w:tc>
        <w:tc>
          <w:tcPr>
            <w:tcW w:type="dxa" w:w="2520"/>
            <w:vAlign w:val="center"/>
          </w:tcPr>
          <w:p>
            <w:r/>
            <w:r>
              <w:rPr>
                <w:b w:val="0"/>
                <w:color w:val="000000"/>
                <w:sz w:val="17"/>
              </w:rPr>
              <w:t>Approved requirements and Release 1 boundary</w:t>
            </w:r>
          </w:p>
        </w:tc>
      </w:tr>
      <w:tr>
        <w:tc>
          <w:tcPr>
            <w:tcW w:type="dxa" w:w="2520"/>
            <w:vAlign w:val="center"/>
          </w:tcPr>
          <w:p>
            <w:r/>
            <w:r>
              <w:rPr>
                <w:b w:val="0"/>
                <w:color w:val="000000"/>
                <w:sz w:val="17"/>
              </w:rPr>
              <w:t>Sprint 2</w:t>
            </w:r>
          </w:p>
        </w:tc>
        <w:tc>
          <w:tcPr>
            <w:tcW w:type="dxa" w:w="2520"/>
            <w:vAlign w:val="center"/>
          </w:tcPr>
          <w:p>
            <w:r/>
            <w:r>
              <w:rPr>
                <w:b w:val="0"/>
                <w:color w:val="000000"/>
                <w:sz w:val="17"/>
              </w:rPr>
              <w:t>3–4</w:t>
            </w:r>
          </w:p>
        </w:tc>
        <w:tc>
          <w:tcPr>
            <w:tcW w:type="dxa" w:w="2520"/>
            <w:vAlign w:val="center"/>
          </w:tcPr>
          <w:p>
            <w:r/>
            <w:r>
              <w:rPr>
                <w:b w:val="0"/>
                <w:color w:val="000000"/>
                <w:sz w:val="17"/>
              </w:rPr>
              <w:t>Property search and property data</w:t>
            </w:r>
          </w:p>
        </w:tc>
        <w:tc>
          <w:tcPr>
            <w:tcW w:type="dxa" w:w="2520"/>
            <w:vAlign w:val="center"/>
          </w:tcPr>
          <w:p>
            <w:r/>
            <w:r>
              <w:rPr>
                <w:b w:val="0"/>
                <w:color w:val="000000"/>
                <w:sz w:val="17"/>
              </w:rPr>
              <w:t>Search workflow and property information flow</w:t>
            </w:r>
          </w:p>
        </w:tc>
      </w:tr>
      <w:tr>
        <w:tc>
          <w:tcPr>
            <w:tcW w:type="dxa" w:w="2520"/>
            <w:vAlign w:val="center"/>
          </w:tcPr>
          <w:p>
            <w:r/>
            <w:r>
              <w:rPr>
                <w:b w:val="0"/>
                <w:color w:val="000000"/>
                <w:sz w:val="17"/>
              </w:rPr>
              <w:t>Sprint 3</w:t>
            </w:r>
          </w:p>
        </w:tc>
        <w:tc>
          <w:tcPr>
            <w:tcW w:type="dxa" w:w="2520"/>
            <w:vAlign w:val="center"/>
          </w:tcPr>
          <w:p>
            <w:r/>
            <w:r>
              <w:rPr>
                <w:b w:val="0"/>
                <w:color w:val="000000"/>
                <w:sz w:val="17"/>
              </w:rPr>
              <w:t>5–6</w:t>
            </w:r>
          </w:p>
        </w:tc>
        <w:tc>
          <w:tcPr>
            <w:tcW w:type="dxa" w:w="2520"/>
            <w:vAlign w:val="center"/>
          </w:tcPr>
          <w:p>
            <w:r/>
            <w:r>
              <w:rPr>
                <w:b w:val="0"/>
                <w:color w:val="000000"/>
                <w:sz w:val="17"/>
              </w:rPr>
              <w:t>Self-assessment and tax calculation</w:t>
            </w:r>
          </w:p>
        </w:tc>
        <w:tc>
          <w:tcPr>
            <w:tcW w:type="dxa" w:w="2520"/>
            <w:vAlign w:val="center"/>
          </w:tcPr>
          <w:p>
            <w:r/>
            <w:r>
              <w:rPr>
                <w:b w:val="0"/>
                <w:color w:val="000000"/>
                <w:sz w:val="17"/>
              </w:rPr>
              <w:t>Validated assessment and calculation flow</w:t>
            </w:r>
          </w:p>
        </w:tc>
      </w:tr>
      <w:tr>
        <w:tc>
          <w:tcPr>
            <w:tcW w:type="dxa" w:w="2520"/>
            <w:vAlign w:val="center"/>
          </w:tcPr>
          <w:p>
            <w:r/>
            <w:r>
              <w:rPr>
                <w:b w:val="0"/>
                <w:color w:val="000000"/>
                <w:sz w:val="17"/>
              </w:rPr>
              <w:t>Sprint 4</w:t>
            </w:r>
          </w:p>
        </w:tc>
        <w:tc>
          <w:tcPr>
            <w:tcW w:type="dxa" w:w="2520"/>
            <w:vAlign w:val="center"/>
          </w:tcPr>
          <w:p>
            <w:r/>
            <w:r>
              <w:rPr>
                <w:b w:val="0"/>
                <w:color w:val="000000"/>
                <w:sz w:val="17"/>
              </w:rPr>
              <w:t>7–8</w:t>
            </w:r>
          </w:p>
        </w:tc>
        <w:tc>
          <w:tcPr>
            <w:tcW w:type="dxa" w:w="2520"/>
            <w:vAlign w:val="center"/>
          </w:tcPr>
          <w:p>
            <w:r/>
            <w:r>
              <w:rPr>
                <w:b w:val="0"/>
                <w:color w:val="000000"/>
                <w:sz w:val="17"/>
              </w:rPr>
              <w:t>Online payment and receipts</w:t>
            </w:r>
          </w:p>
        </w:tc>
        <w:tc>
          <w:tcPr>
            <w:tcW w:type="dxa" w:w="2520"/>
            <w:vAlign w:val="center"/>
          </w:tcPr>
          <w:p>
            <w:r/>
            <w:r>
              <w:rPr>
                <w:b w:val="0"/>
                <w:color w:val="000000"/>
                <w:sz w:val="17"/>
              </w:rPr>
              <w:t>Payment and receipt workflow</w:t>
            </w:r>
          </w:p>
        </w:tc>
      </w:tr>
      <w:tr>
        <w:tc>
          <w:tcPr>
            <w:tcW w:type="dxa" w:w="2520"/>
            <w:vAlign w:val="center"/>
          </w:tcPr>
          <w:p>
            <w:r/>
            <w:r>
              <w:rPr>
                <w:b w:val="0"/>
                <w:color w:val="000000"/>
                <w:sz w:val="17"/>
              </w:rPr>
              <w:t>Sprint 5</w:t>
            </w:r>
          </w:p>
        </w:tc>
        <w:tc>
          <w:tcPr>
            <w:tcW w:type="dxa" w:w="2520"/>
            <w:vAlign w:val="center"/>
          </w:tcPr>
          <w:p>
            <w:r/>
            <w:r>
              <w:rPr>
                <w:b w:val="0"/>
                <w:color w:val="000000"/>
                <w:sz w:val="17"/>
              </w:rPr>
              <w:t>9–10</w:t>
            </w:r>
          </w:p>
        </w:tc>
        <w:tc>
          <w:tcPr>
            <w:tcW w:type="dxa" w:w="2520"/>
            <w:vAlign w:val="center"/>
          </w:tcPr>
          <w:p>
            <w:r/>
            <w:r>
              <w:rPr>
                <w:b w:val="0"/>
                <w:color w:val="000000"/>
                <w:sz w:val="17"/>
              </w:rPr>
              <w:t>Integration, testing and release validation</w:t>
            </w:r>
          </w:p>
        </w:tc>
        <w:tc>
          <w:tcPr>
            <w:tcW w:type="dxa" w:w="2520"/>
            <w:vAlign w:val="center"/>
          </w:tcPr>
          <w:p>
            <w:r/>
            <w:r>
              <w:rPr>
                <w:b w:val="0"/>
                <w:color w:val="000000"/>
                <w:sz w:val="17"/>
              </w:rPr>
              <w:t>Test evidence, fixes and Release 1 readiness</w:t>
            </w:r>
          </w:p>
        </w:tc>
      </w:tr>
    </w:tbl>
    <w:p/>
    <w:p>
      <w:pPr>
        <w:spacing w:before="160" w:after="80"/>
      </w:pPr>
      <w:r>
        <w:rPr>
          <w:b/>
          <w:color w:val="17365D"/>
          <w:sz w:val="30"/>
        </w:rPr>
        <w:t>8. Milestones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b/>
                <w:color w:val="FFFFFF"/>
                <w:sz w:val="17"/>
              </w:rPr>
              <w:t>Milestone</w:t>
            </w:r>
          </w:p>
        </w:tc>
        <w:tc>
          <w:tcPr>
            <w:tcW w:type="dxa" w:w="5040"/>
            <w:vAlign w:val="center"/>
            <w:shd w:fill="17365D"/>
          </w:tcPr>
          <w:p>
            <w:r/>
            <w:r>
              <w:rPr>
                <w:b/>
                <w:color w:val="FFFFFF"/>
                <w:sz w:val="17"/>
              </w:rPr>
              <w:t>Target</w:t>
            </w:r>
          </w:p>
        </w:tc>
      </w:tr>
      <w:tr>
        <w:tc>
          <w:tcPr>
            <w:tcW w:type="dxa" w:w="5040"/>
            <w:vAlign w:val="center"/>
          </w:tcPr>
          <w:p>
            <w:r/>
            <w:r>
              <w:rPr>
                <w:b w:val="0"/>
                <w:color w:val="000000"/>
                <w:sz w:val="17"/>
              </w:rPr>
              <w:t>M1 – Requirements &amp; scope baseline</w:t>
            </w:r>
          </w:p>
        </w:tc>
        <w:tc>
          <w:tcPr>
            <w:tcW w:type="dxa" w:w="5040"/>
            <w:vAlign w:val="center"/>
          </w:tcPr>
          <w:p>
            <w:r/>
            <w:r>
              <w:rPr>
                <w:b w:val="0"/>
                <w:color w:val="000000"/>
                <w:sz w:val="17"/>
              </w:rPr>
              <w:t>End of Sprint 1 / Week 2</w:t>
            </w:r>
          </w:p>
        </w:tc>
      </w:tr>
      <w:tr>
        <w:tc>
          <w:tcPr>
            <w:tcW w:type="dxa" w:w="5040"/>
            <w:vAlign w:val="center"/>
          </w:tcPr>
          <w:p>
            <w:r/>
            <w:r>
              <w:rPr>
                <w:b w:val="0"/>
                <w:color w:val="000000"/>
                <w:sz w:val="17"/>
              </w:rPr>
              <w:t>M2 – Property search flow complete</w:t>
            </w:r>
          </w:p>
        </w:tc>
        <w:tc>
          <w:tcPr>
            <w:tcW w:type="dxa" w:w="5040"/>
            <w:vAlign w:val="center"/>
          </w:tcPr>
          <w:p>
            <w:r/>
            <w:r>
              <w:rPr>
                <w:b w:val="0"/>
                <w:color w:val="000000"/>
                <w:sz w:val="17"/>
              </w:rPr>
              <w:t>End of Sprint 2 / Week 4</w:t>
            </w:r>
          </w:p>
        </w:tc>
      </w:tr>
      <w:tr>
        <w:tc>
          <w:tcPr>
            <w:tcW w:type="dxa" w:w="5040"/>
            <w:vAlign w:val="center"/>
          </w:tcPr>
          <w:p>
            <w:r/>
            <w:r>
              <w:rPr>
                <w:b w:val="0"/>
                <w:color w:val="000000"/>
                <w:sz w:val="17"/>
              </w:rPr>
              <w:t>M3 – Self-assessment &amp; calculator complete</w:t>
            </w:r>
          </w:p>
        </w:tc>
        <w:tc>
          <w:tcPr>
            <w:tcW w:type="dxa" w:w="5040"/>
            <w:vAlign w:val="center"/>
          </w:tcPr>
          <w:p>
            <w:r/>
            <w:r>
              <w:rPr>
                <w:b w:val="0"/>
                <w:color w:val="000000"/>
                <w:sz w:val="17"/>
              </w:rPr>
              <w:t>End of Sprint 3 / Week 6</w:t>
            </w:r>
          </w:p>
        </w:tc>
      </w:tr>
      <w:tr>
        <w:tc>
          <w:tcPr>
            <w:tcW w:type="dxa" w:w="5040"/>
            <w:vAlign w:val="center"/>
          </w:tcPr>
          <w:p>
            <w:r/>
            <w:r>
              <w:rPr>
                <w:b w:val="0"/>
                <w:color w:val="000000"/>
                <w:sz w:val="17"/>
              </w:rPr>
              <w:t>M4 – Payment &amp; receipt flow complete</w:t>
            </w:r>
          </w:p>
        </w:tc>
        <w:tc>
          <w:tcPr>
            <w:tcW w:type="dxa" w:w="5040"/>
            <w:vAlign w:val="center"/>
          </w:tcPr>
          <w:p>
            <w:r/>
            <w:r>
              <w:rPr>
                <w:b w:val="0"/>
                <w:color w:val="000000"/>
                <w:sz w:val="17"/>
              </w:rPr>
              <w:t>End of Sprint 4 / Week 8</w:t>
            </w:r>
          </w:p>
        </w:tc>
      </w:tr>
      <w:tr>
        <w:tc>
          <w:tcPr>
            <w:tcW w:type="dxa" w:w="5040"/>
            <w:vAlign w:val="center"/>
          </w:tcPr>
          <w:p>
            <w:r/>
            <w:r>
              <w:rPr>
                <w:b w:val="0"/>
                <w:color w:val="000000"/>
                <w:sz w:val="17"/>
              </w:rPr>
              <w:t>M5 – Release 1 validation complete</w:t>
            </w:r>
          </w:p>
        </w:tc>
        <w:tc>
          <w:tcPr>
            <w:tcW w:type="dxa" w:w="5040"/>
            <w:vAlign w:val="center"/>
          </w:tcPr>
          <w:p>
            <w:r/>
            <w:r>
              <w:rPr>
                <w:b w:val="0"/>
                <w:color w:val="000000"/>
                <w:sz w:val="17"/>
              </w:rPr>
              <w:t>End of Sprint 5 / Week 10</w:t>
            </w:r>
          </w:p>
        </w:tc>
      </w:tr>
    </w:tbl>
    <w:p/>
    <w:p>
      <w:pPr>
        <w:spacing w:before="160" w:after="80"/>
      </w:pPr>
      <w:r>
        <w:rPr>
          <w:b/>
          <w:color w:val="17365D"/>
          <w:sz w:val="30"/>
        </w:rPr>
        <w:t>9. Resource Allocation</w:t>
      </w:r>
    </w:p>
    <w:p>
      <w:r>
        <w:t>The case study does not specify a team size or individual resource names. Therefore, resources are allocated by project role rather than by invented headcount.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7"/>
              </w:rPr>
              <w:t>Work Area</w:t>
            </w:r>
          </w:p>
        </w:tc>
        <w:tc>
          <w:tcPr>
            <w:tcW w:type="dxa" w:w="3360"/>
            <w:vAlign w:val="center"/>
            <w:shd w:fill="17365D"/>
          </w:tcPr>
          <w:p>
            <w:r/>
            <w:r>
              <w:rPr>
                <w:b/>
                <w:color w:val="FFFFFF"/>
                <w:sz w:val="17"/>
              </w:rPr>
              <w:t>Primary Role</w:t>
            </w:r>
          </w:p>
        </w:tc>
        <w:tc>
          <w:tcPr>
            <w:tcW w:type="dxa" w:w="3360"/>
            <w:vAlign w:val="center"/>
            <w:shd w:fill="17365D"/>
          </w:tcPr>
          <w:p>
            <w:r/>
            <w:r>
              <w:rPr>
                <w:b/>
                <w:color w:val="FFFFFF"/>
                <w:sz w:val="17"/>
              </w:rPr>
              <w:t>Supporting Role(s)</w:t>
            </w:r>
          </w:p>
        </w:tc>
      </w:tr>
      <w:tr>
        <w:tc>
          <w:tcPr>
            <w:tcW w:type="dxa" w:w="3360"/>
            <w:vAlign w:val="center"/>
          </w:tcPr>
          <w:p>
            <w:r/>
            <w:r>
              <w:rPr>
                <w:b w:val="0"/>
                <w:color w:val="000000"/>
                <w:sz w:val="17"/>
              </w:rPr>
              <w:t>Requirements &amp; scope</w:t>
            </w:r>
          </w:p>
        </w:tc>
        <w:tc>
          <w:tcPr>
            <w:tcW w:type="dxa" w:w="3360"/>
            <w:vAlign w:val="center"/>
          </w:tcPr>
          <w:p>
            <w:r/>
            <w:r>
              <w:rPr>
                <w:b w:val="0"/>
                <w:color w:val="000000"/>
                <w:sz w:val="17"/>
              </w:rPr>
              <w:t>Business / Project Management</w:t>
            </w:r>
          </w:p>
        </w:tc>
        <w:tc>
          <w:tcPr>
            <w:tcW w:type="dxa" w:w="3360"/>
            <w:vAlign w:val="center"/>
          </w:tcPr>
          <w:p>
            <w:r/>
            <w:r>
              <w:rPr>
                <w:b w:val="0"/>
                <w:color w:val="000000"/>
                <w:sz w:val="17"/>
              </w:rPr>
              <w:t>Solution / Technical Design</w:t>
            </w:r>
          </w:p>
        </w:tc>
      </w:tr>
      <w:tr>
        <w:tc>
          <w:tcPr>
            <w:tcW w:type="dxa" w:w="3360"/>
            <w:vAlign w:val="center"/>
          </w:tcPr>
          <w:p>
            <w:r/>
            <w:r>
              <w:rPr>
                <w:b w:val="0"/>
                <w:color w:val="000000"/>
                <w:sz w:val="17"/>
              </w:rPr>
              <w:t>SRS &amp; UML</w:t>
            </w:r>
          </w:p>
        </w:tc>
        <w:tc>
          <w:tcPr>
            <w:tcW w:type="dxa" w:w="3360"/>
            <w:vAlign w:val="center"/>
          </w:tcPr>
          <w:p>
            <w:r/>
            <w:r>
              <w:rPr>
                <w:b w:val="0"/>
                <w:color w:val="000000"/>
                <w:sz w:val="17"/>
              </w:rPr>
              <w:t>Solution / Technical Design</w:t>
            </w:r>
          </w:p>
        </w:tc>
        <w:tc>
          <w:tcPr>
            <w:tcW w:type="dxa" w:w="3360"/>
            <w:vAlign w:val="center"/>
          </w:tcPr>
          <w:p>
            <w:r/>
            <w:r>
              <w:rPr>
                <w:b w:val="0"/>
                <w:color w:val="000000"/>
                <w:sz w:val="17"/>
              </w:rPr>
              <w:t>Business / Project Management, Development</w:t>
            </w:r>
          </w:p>
        </w:tc>
      </w:tr>
      <w:tr>
        <w:tc>
          <w:tcPr>
            <w:tcW w:type="dxa" w:w="3360"/>
            <w:vAlign w:val="center"/>
          </w:tcPr>
          <w:p>
            <w:r/>
            <w:r>
              <w:rPr>
                <w:b w:val="0"/>
                <w:color w:val="000000"/>
                <w:sz w:val="17"/>
              </w:rPr>
              <w:t>Property search &amp; assessment</w:t>
            </w:r>
          </w:p>
        </w:tc>
        <w:tc>
          <w:tcPr>
            <w:tcW w:type="dxa" w:w="3360"/>
            <w:vAlign w:val="center"/>
          </w:tcPr>
          <w:p>
            <w:r/>
            <w:r>
              <w:rPr>
                <w:b w:val="0"/>
                <w:color w:val="000000"/>
                <w:sz w:val="17"/>
              </w:rPr>
              <w:t>Development</w:t>
            </w:r>
          </w:p>
        </w:tc>
        <w:tc>
          <w:tcPr>
            <w:tcW w:type="dxa" w:w="3360"/>
            <w:vAlign w:val="center"/>
          </w:tcPr>
          <w:p>
            <w:r/>
            <w:r>
              <w:rPr>
                <w:b w:val="0"/>
                <w:color w:val="000000"/>
                <w:sz w:val="17"/>
              </w:rPr>
              <w:t>Solution / Technical Design, QA</w:t>
            </w:r>
          </w:p>
        </w:tc>
      </w:tr>
      <w:tr>
        <w:tc>
          <w:tcPr>
            <w:tcW w:type="dxa" w:w="3360"/>
            <w:vAlign w:val="center"/>
          </w:tcPr>
          <w:p>
            <w:r/>
            <w:r>
              <w:rPr>
                <w:b w:val="0"/>
                <w:color w:val="000000"/>
                <w:sz w:val="17"/>
              </w:rPr>
              <w:t>Tax calculation &amp; rules</w:t>
            </w:r>
          </w:p>
        </w:tc>
        <w:tc>
          <w:tcPr>
            <w:tcW w:type="dxa" w:w="3360"/>
            <w:vAlign w:val="center"/>
          </w:tcPr>
          <w:p>
            <w:r/>
            <w:r>
              <w:rPr>
                <w:b w:val="0"/>
                <w:color w:val="000000"/>
                <w:sz w:val="17"/>
              </w:rPr>
              <w:t>Solution / Technical Design</w:t>
            </w:r>
          </w:p>
        </w:tc>
        <w:tc>
          <w:tcPr>
            <w:tcW w:type="dxa" w:w="3360"/>
            <w:vAlign w:val="center"/>
          </w:tcPr>
          <w:p>
            <w:r/>
            <w:r>
              <w:rPr>
                <w:b w:val="0"/>
                <w:color w:val="000000"/>
                <w:sz w:val="17"/>
              </w:rPr>
              <w:t>Development, Revenue Department</w:t>
            </w:r>
          </w:p>
        </w:tc>
      </w:tr>
      <w:tr>
        <w:tc>
          <w:tcPr>
            <w:tcW w:type="dxa" w:w="3360"/>
            <w:vAlign w:val="center"/>
          </w:tcPr>
          <w:p>
            <w:r/>
            <w:r>
              <w:rPr>
                <w:b w:val="0"/>
                <w:color w:val="000000"/>
                <w:sz w:val="17"/>
              </w:rPr>
              <w:t>Payment &amp; receipts</w:t>
            </w:r>
          </w:p>
        </w:tc>
        <w:tc>
          <w:tcPr>
            <w:tcW w:type="dxa" w:w="3360"/>
            <w:vAlign w:val="center"/>
          </w:tcPr>
          <w:p>
            <w:r/>
            <w:r>
              <w:rPr>
                <w:b w:val="0"/>
                <w:color w:val="000000"/>
                <w:sz w:val="17"/>
              </w:rPr>
              <w:t>Development</w:t>
            </w:r>
          </w:p>
        </w:tc>
        <w:tc>
          <w:tcPr>
            <w:tcW w:type="dxa" w:w="3360"/>
            <w:vAlign w:val="center"/>
          </w:tcPr>
          <w:p>
            <w:r/>
            <w:r>
              <w:rPr>
                <w:b w:val="0"/>
                <w:color w:val="000000"/>
                <w:sz w:val="17"/>
              </w:rPr>
              <w:t>QA, Payment/Gateway stakeholder</w:t>
            </w:r>
          </w:p>
        </w:tc>
      </w:tr>
      <w:tr>
        <w:tc>
          <w:tcPr>
            <w:tcW w:type="dxa" w:w="3360"/>
            <w:vAlign w:val="center"/>
          </w:tcPr>
          <w:p>
            <w:r/>
            <w:r>
              <w:rPr>
                <w:b w:val="0"/>
                <w:color w:val="000000"/>
                <w:sz w:val="17"/>
              </w:rPr>
              <w:t>Testing &amp; evidence</w:t>
            </w:r>
          </w:p>
        </w:tc>
        <w:tc>
          <w:tcPr>
            <w:tcW w:type="dxa" w:w="3360"/>
            <w:vAlign w:val="center"/>
          </w:tcPr>
          <w:p>
            <w:r/>
            <w:r>
              <w:rPr>
                <w:b w:val="0"/>
                <w:color w:val="000000"/>
                <w:sz w:val="17"/>
              </w:rPr>
              <w:t>QA / Testing</w:t>
            </w:r>
          </w:p>
        </w:tc>
        <w:tc>
          <w:tcPr>
            <w:tcW w:type="dxa" w:w="3360"/>
            <w:vAlign w:val="center"/>
          </w:tcPr>
          <w:p>
            <w:r/>
            <w:r>
              <w:rPr>
                <w:b w:val="0"/>
                <w:color w:val="000000"/>
                <w:sz w:val="17"/>
              </w:rPr>
              <w:t>Development, Solution / Technical Design</w:t>
            </w:r>
          </w:p>
        </w:tc>
      </w:tr>
      <w:tr>
        <w:tc>
          <w:tcPr>
            <w:tcW w:type="dxa" w:w="3360"/>
            <w:vAlign w:val="center"/>
          </w:tcPr>
          <w:p>
            <w:r/>
            <w:r>
              <w:rPr>
                <w:b w:val="0"/>
                <w:color w:val="000000"/>
                <w:sz w:val="17"/>
              </w:rPr>
              <w:t>Release validation</w:t>
            </w:r>
          </w:p>
        </w:tc>
        <w:tc>
          <w:tcPr>
            <w:tcW w:type="dxa" w:w="3360"/>
            <w:vAlign w:val="center"/>
          </w:tcPr>
          <w:p>
            <w:r/>
            <w:r>
              <w:rPr>
                <w:b w:val="0"/>
                <w:color w:val="000000"/>
                <w:sz w:val="17"/>
              </w:rPr>
              <w:t>Project Management</w:t>
            </w:r>
          </w:p>
        </w:tc>
        <w:tc>
          <w:tcPr>
            <w:tcW w:type="dxa" w:w="3360"/>
            <w:vAlign w:val="center"/>
          </w:tcPr>
          <w:p>
            <w:r/>
            <w:r>
              <w:rPr>
                <w:b w:val="0"/>
                <w:color w:val="000000"/>
                <w:sz w:val="17"/>
              </w:rPr>
              <w:t>Solution / Technical Design, Development, QA</w:t>
            </w:r>
          </w:p>
        </w:tc>
      </w:tr>
    </w:tbl>
    <w:p/>
    <w:p>
      <w:pPr>
        <w:spacing w:before="160" w:after="80"/>
      </w:pPr>
      <w:r>
        <w:rPr>
          <w:b/>
          <w:color w:val="17365D"/>
          <w:sz w:val="30"/>
        </w:rPr>
        <w:t>10. Release 1 Scope Decision</w:t>
      </w:r>
    </w:p>
    <w:p>
      <w:r>
        <w:t>The full case-study backlog including objections is 34 + 21 + 29 = 84 points. At 11 points per two-week sprint, 84 / 11 = 7.64, which requires 8 sprints or 16 weeks. This consumes the entire period before the tax year starts. The case study also states that the objections workflow involves legal procedures requiring more time. Therefore, Release 1 is planned around the 55-point core scope, forecast at 5 sprints or 10 weeks.</w:t>
      </w:r>
    </w:p>
    <w:p>
      <w:pPr>
        <w:spacing w:before="160" w:after="80"/>
      </w:pPr>
      <w:r>
        <w:rPr>
          <w:b/>
          <w:color w:val="17365D"/>
          <w:sz w:val="30"/>
        </w:rPr>
        <w:t>11. Schedule and Resource Assumptions</w:t>
      </w:r>
    </w:p>
    <w:p>
      <w:pPr>
        <w:pStyle w:val="ListBullet"/>
        <w:spacing w:after="40"/>
      </w:pPr>
      <w:r>
        <w:rPr>
          <w:sz w:val="19"/>
        </w:rPr>
        <w:t>The supplied velocity of 11 points per 2-week sprint is used for forecasting.</w:t>
      </w:r>
    </w:p>
    <w:p>
      <w:pPr>
        <w:pStyle w:val="ListBullet"/>
        <w:spacing w:after="40"/>
      </w:pPr>
      <w:r>
        <w:rPr>
          <w:sz w:val="19"/>
        </w:rPr>
        <w:t>Release 1 excludes the full objections workflow.</w:t>
      </w:r>
    </w:p>
    <w:p>
      <w:pPr>
        <w:pStyle w:val="ListBullet"/>
        <w:spacing w:after="40"/>
      </w:pPr>
      <w:r>
        <w:rPr>
          <w:sz w:val="19"/>
        </w:rPr>
        <w:t>Project weeks are used because no calendar start date is given in the case study.</w:t>
      </w:r>
    </w:p>
    <w:p>
      <w:pPr>
        <w:pStyle w:val="ListBullet"/>
        <w:spacing w:after="40"/>
      </w:pPr>
      <w:r>
        <w:rPr>
          <w:sz w:val="19"/>
        </w:rPr>
        <w:t>Resource allocation is role-based because no team size or named resources are provided.</w:t>
      </w:r>
    </w:p>
    <w:p>
      <w:pPr>
        <w:pStyle w:val="ListBullet"/>
        <w:spacing w:after="40"/>
      </w:pPr>
      <w:r>
        <w:rPr>
          <w:sz w:val="19"/>
        </w:rPr>
        <w:t>The 10-week forecast is an estimate based on the supplied velocity, not a delivery guarantee.</w:t>
      </w:r>
    </w:p>
    <w:p>
      <w:pPr>
        <w:spacing w:before="160" w:after="80"/>
      </w:pPr>
      <w:r>
        <w:rPr>
          <w:b/>
          <w:color w:val="17365D"/>
          <w:sz w:val="30"/>
        </w:rPr>
        <w:t>12. Conclusion</w:t>
      </w:r>
    </w:p>
    <w:p>
      <w:r>
        <w:t>The project plan converts the PropTax case study into a structured Release 1 delivery plan. The core search, self-assessment, calculation, payment and receipt scope is forecast at 55 points, which equals 5 two-week sprints at the supplied velocity. The plan includes the required WBS, dependency network, critical path, Gantt schedule, milestones and role-based resource allocation.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Ragini Singh • 150096724023 • Case Study 141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SOFTWARE ENGINEERING &amp; PROJECT MANAGEMENT  |  CASE STUDY 141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