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0"/>
        </w:rPr>
        <w:t>SOFTWARE DESIGN &amp; UML</w:t>
        <w:br/>
      </w:r>
      <w:r>
        <w:rPr>
          <w:b/>
          <w:sz w:val="30"/>
        </w:rPr>
        <w:t>PropTax – Online Property Tax Self-Assessment and Payment Portal</w:t>
      </w:r>
    </w:p>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7365D"/>
          </w:tcPr>
          <w:p>
            <w:r/>
            <w:r>
              <w:rPr>
                <w:b/>
                <w:color w:val="FFFFFF"/>
                <w:sz w:val="18"/>
              </w:rPr>
              <w:t>Field</w:t>
            </w:r>
          </w:p>
        </w:tc>
        <w:tc>
          <w:tcPr>
            <w:tcW w:type="dxa" w:w="6768"/>
            <w:vAlign w:val="center"/>
            <w:shd w:fill="17365D"/>
          </w:tcPr>
          <w:p>
            <w:r/>
            <w:r>
              <w:rPr>
                <w:b/>
                <w:color w:val="FFFFFF"/>
                <w:sz w:val="18"/>
              </w:rPr>
              <w:t>Details</w:t>
            </w:r>
          </w:p>
        </w:tc>
      </w:tr>
      <w:tr>
        <w:tc>
          <w:tcPr>
            <w:tcW w:type="dxa" w:w="2880"/>
            <w:vAlign w:val="center"/>
          </w:tcPr>
          <w:p>
            <w:r/>
            <w:r>
              <w:rPr>
                <w:b w:val="0"/>
                <w:color w:val="000000"/>
                <w:sz w:val="17"/>
              </w:rPr>
              <w:t>Student Name</w:t>
            </w:r>
          </w:p>
        </w:tc>
        <w:tc>
          <w:tcPr>
            <w:tcW w:type="dxa" w:w="6768"/>
            <w:vAlign w:val="center"/>
          </w:tcPr>
          <w:p>
            <w:r/>
            <w:r>
              <w:rPr>
                <w:b w:val="0"/>
                <w:color w:val="000000"/>
                <w:sz w:val="17"/>
              </w:rPr>
              <w:t>Ragini Singh</w:t>
            </w:r>
          </w:p>
        </w:tc>
      </w:tr>
      <w:tr>
        <w:tc>
          <w:tcPr>
            <w:tcW w:type="dxa" w:w="2880"/>
            <w:vAlign w:val="center"/>
          </w:tcPr>
          <w:p>
            <w:r/>
            <w:r>
              <w:rPr>
                <w:b w:val="0"/>
                <w:color w:val="000000"/>
                <w:sz w:val="17"/>
              </w:rPr>
              <w:t>Roll No.</w:t>
            </w:r>
          </w:p>
        </w:tc>
        <w:tc>
          <w:tcPr>
            <w:tcW w:type="dxa" w:w="6768"/>
            <w:vAlign w:val="center"/>
          </w:tcPr>
          <w:p>
            <w:r/>
            <w:r>
              <w:rPr>
                <w:b w:val="0"/>
                <w:color w:val="000000"/>
                <w:sz w:val="17"/>
              </w:rPr>
              <w:t>150096724023</w:t>
            </w:r>
          </w:p>
        </w:tc>
      </w:tr>
      <w:tr>
        <w:tc>
          <w:tcPr>
            <w:tcW w:type="dxa" w:w="2880"/>
            <w:vAlign w:val="center"/>
          </w:tcPr>
          <w:p>
            <w:r/>
            <w:r>
              <w:rPr>
                <w:b w:val="0"/>
                <w:color w:val="000000"/>
                <w:sz w:val="17"/>
              </w:rPr>
              <w:t>Case Study No.</w:t>
            </w:r>
          </w:p>
        </w:tc>
        <w:tc>
          <w:tcPr>
            <w:tcW w:type="dxa" w:w="6768"/>
            <w:vAlign w:val="center"/>
          </w:tcPr>
          <w:p>
            <w:r/>
            <w:r>
              <w:rPr>
                <w:b w:val="0"/>
                <w:color w:val="000000"/>
                <w:sz w:val="17"/>
              </w:rPr>
              <w:t>141</w:t>
            </w:r>
          </w:p>
        </w:tc>
      </w:tr>
      <w:tr>
        <w:tc>
          <w:tcPr>
            <w:tcW w:type="dxa" w:w="2880"/>
            <w:vAlign w:val="center"/>
          </w:tcPr>
          <w:p>
            <w:r/>
            <w:r>
              <w:rPr>
                <w:b w:val="0"/>
                <w:color w:val="000000"/>
                <w:sz w:val="17"/>
              </w:rPr>
              <w:t>Case Study Title</w:t>
            </w:r>
          </w:p>
        </w:tc>
        <w:tc>
          <w:tcPr>
            <w:tcW w:type="dxa" w:w="6768"/>
            <w:vAlign w:val="center"/>
          </w:tcPr>
          <w:p>
            <w:r/>
            <w:r>
              <w:rPr>
                <w:b w:val="0"/>
                <w:color w:val="000000"/>
                <w:sz w:val="17"/>
              </w:rPr>
              <w:t>PropTax – Online Property Tax Self-Assessment and Payment Portal</w:t>
            </w:r>
          </w:p>
        </w:tc>
      </w:tr>
      <w:tr>
        <w:tc>
          <w:tcPr>
            <w:tcW w:type="dxa" w:w="2880"/>
            <w:vAlign w:val="center"/>
          </w:tcPr>
          <w:p>
            <w:r/>
            <w:r>
              <w:rPr>
                <w:b w:val="0"/>
                <w:color w:val="000000"/>
                <w:sz w:val="17"/>
              </w:rPr>
              <w:t>Subject</w:t>
            </w:r>
          </w:p>
        </w:tc>
        <w:tc>
          <w:tcPr>
            <w:tcW w:type="dxa" w:w="6768"/>
            <w:vAlign w:val="center"/>
          </w:tcPr>
          <w:p>
            <w:r/>
            <w:r>
              <w:rPr>
                <w:b w:val="0"/>
                <w:color w:val="000000"/>
                <w:sz w:val="17"/>
              </w:rPr>
              <w:t>Software Engineering &amp; Project Management</w:t>
            </w:r>
          </w:p>
        </w:tc>
      </w:tr>
      <w:tr>
        <w:tc>
          <w:tcPr>
            <w:tcW w:type="dxa" w:w="2880"/>
            <w:vAlign w:val="center"/>
          </w:tcPr>
          <w:p>
            <w:r/>
            <w:r>
              <w:rPr>
                <w:b w:val="0"/>
                <w:color w:val="000000"/>
                <w:sz w:val="17"/>
              </w:rPr>
              <w:t>Semester</w:t>
            </w:r>
          </w:p>
        </w:tc>
        <w:tc>
          <w:tcPr>
            <w:tcW w:type="dxa" w:w="6768"/>
            <w:vAlign w:val="center"/>
          </w:tcPr>
          <w:p>
            <w:r/>
            <w:r>
              <w:rPr>
                <w:b w:val="0"/>
                <w:color w:val="000000"/>
                <w:sz w:val="17"/>
              </w:rPr>
              <w:t>V</w:t>
            </w:r>
          </w:p>
        </w:tc>
      </w:tr>
      <w:tr>
        <w:tc>
          <w:tcPr>
            <w:tcW w:type="dxa" w:w="2880"/>
            <w:vAlign w:val="center"/>
          </w:tcPr>
          <w:p>
            <w:r/>
            <w:r>
              <w:rPr>
                <w:b w:val="0"/>
                <w:color w:val="000000"/>
                <w:sz w:val="17"/>
              </w:rPr>
              <w:t>Examination</w:t>
            </w:r>
          </w:p>
        </w:tc>
        <w:tc>
          <w:tcPr>
            <w:tcW w:type="dxa" w:w="6768"/>
            <w:vAlign w:val="center"/>
          </w:tcPr>
          <w:p>
            <w:r/>
            <w:r>
              <w:rPr>
                <w:b w:val="0"/>
                <w:color w:val="000000"/>
                <w:sz w:val="17"/>
              </w:rPr>
              <w:t>Sprint 1 Examination</w:t>
            </w:r>
          </w:p>
        </w:tc>
      </w:tr>
      <w:tr>
        <w:tc>
          <w:tcPr>
            <w:tcW w:type="dxa" w:w="2880"/>
            <w:vAlign w:val="center"/>
          </w:tcPr>
          <w:p>
            <w:r/>
            <w:r>
              <w:rPr>
                <w:b w:val="0"/>
                <w:color w:val="000000"/>
                <w:sz w:val="17"/>
              </w:rPr>
              <w:t>Programme</w:t>
            </w:r>
          </w:p>
        </w:tc>
        <w:tc>
          <w:tcPr>
            <w:tcW w:type="dxa" w:w="6768"/>
            <w:vAlign w:val="center"/>
          </w:tcPr>
          <w:p>
            <w:r/>
            <w:r>
              <w:rPr>
                <w:b w:val="0"/>
                <w:color w:val="000000"/>
                <w:sz w:val="17"/>
              </w:rPr>
              <w:t>B.Tech Computer Science &amp; Engineering</w:t>
            </w:r>
          </w:p>
        </w:tc>
      </w:tr>
      <w:tr>
        <w:tc>
          <w:tcPr>
            <w:tcW w:type="dxa" w:w="2880"/>
            <w:vAlign w:val="center"/>
          </w:tcPr>
          <w:p>
            <w:r/>
            <w:r>
              <w:rPr>
                <w:b w:val="0"/>
                <w:color w:val="000000"/>
                <w:sz w:val="17"/>
              </w:rPr>
              <w:t>Batch</w:t>
            </w:r>
          </w:p>
        </w:tc>
        <w:tc>
          <w:tcPr>
            <w:tcW w:type="dxa" w:w="6768"/>
            <w:vAlign w:val="center"/>
          </w:tcPr>
          <w:p>
            <w:r/>
            <w:r>
              <w:rPr>
                <w:b w:val="0"/>
                <w:color w:val="000000"/>
                <w:sz w:val="17"/>
              </w:rPr>
              <w:t>2025–29</w:t>
            </w:r>
          </w:p>
        </w:tc>
      </w:tr>
      <w:tr>
        <w:tc>
          <w:tcPr>
            <w:tcW w:type="dxa" w:w="2880"/>
            <w:vAlign w:val="center"/>
          </w:tcPr>
          <w:p>
            <w:r/>
            <w:r>
              <w:rPr>
                <w:b w:val="0"/>
                <w:color w:val="000000"/>
                <w:sz w:val="17"/>
              </w:rPr>
              <w:t>Document</w:t>
            </w:r>
          </w:p>
        </w:tc>
        <w:tc>
          <w:tcPr>
            <w:tcW w:type="dxa" w:w="6768"/>
            <w:vAlign w:val="center"/>
          </w:tcPr>
          <w:p>
            <w:r/>
            <w:r>
              <w:rPr>
                <w:b w:val="0"/>
                <w:color w:val="000000"/>
                <w:sz w:val="17"/>
              </w:rPr>
              <w:t>UML Package</w:t>
            </w:r>
          </w:p>
        </w:tc>
      </w:tr>
    </w:tbl>
    <w:p/>
    <w:p>
      <w:pPr>
        <w:spacing w:before="160" w:after="80"/>
      </w:pPr>
      <w:r>
        <w:rPr>
          <w:b/>
          <w:color w:val="17365D"/>
          <w:sz w:val="30"/>
        </w:rPr>
        <w:t>1. Purpose</w:t>
      </w:r>
    </w:p>
    <w:p>
      <w:r>
        <w:t>This UML package models the main structure and workflows of the PropTax portal described in Case Study 141. It covers the required use case, class, sequence, activity and state diagrams, followed by a short cohesion and coupling justification.</w:t>
      </w:r>
    </w:p>
    <w:p>
      <w:pPr>
        <w:spacing w:before="160" w:after="80"/>
      </w:pPr>
      <w:r>
        <w:rPr>
          <w:b/>
          <w:color w:val="17365D"/>
          <w:sz w:val="30"/>
        </w:rPr>
        <w:t>2. System Scope Used for UML</w:t>
      </w:r>
    </w:p>
    <w:p>
      <w:pPr>
        <w:pStyle w:val="ListBullet"/>
        <w:spacing w:after="40"/>
      </w:pPr>
      <w:r>
        <w:rPr>
          <w:sz w:val="19"/>
        </w:rPr>
        <w:t>Property search and property-detail access.</w:t>
      </w:r>
    </w:p>
    <w:p>
      <w:pPr>
        <w:pStyle w:val="ListBullet"/>
        <w:spacing w:after="40"/>
      </w:pPr>
      <w:r>
        <w:rPr>
          <w:sz w:val="19"/>
        </w:rPr>
        <w:t>Online property-tax self-assessment and tax calculation.</w:t>
      </w:r>
    </w:p>
    <w:p>
      <w:pPr>
        <w:pStyle w:val="ListBullet"/>
        <w:spacing w:after="40"/>
      </w:pPr>
      <w:r>
        <w:rPr>
          <w:sz w:val="19"/>
        </w:rPr>
        <w:t>Online payment and receipt generation.</w:t>
      </w:r>
    </w:p>
    <w:p>
      <w:pPr>
        <w:pStyle w:val="ListBullet"/>
        <w:spacing w:after="40"/>
      </w:pPr>
      <w:r>
        <w:rPr>
          <w:sz w:val="19"/>
        </w:rPr>
        <w:t>Objection submission/tracking workflow, with the release-one scope decision handled separately in the project scope document.</w:t>
      </w:r>
    </w:p>
    <w:p>
      <w:pPr>
        <w:pStyle w:val="ListBullet"/>
        <w:spacing w:after="40"/>
      </w:pPr>
      <w:r>
        <w:rPr>
          <w:sz w:val="19"/>
        </w:rPr>
        <w:t>Validation of assessment inputs such as built-up area and property age.</w:t>
      </w:r>
    </w:p>
    <w:p>
      <w:pPr>
        <w:spacing w:before="160" w:after="80"/>
      </w:pPr>
      <w:r>
        <w:rPr>
          <w:b/>
          <w:color w:val="17365D"/>
          <w:sz w:val="30"/>
        </w:rPr>
        <w:t>3. Use Case Diagram</w:t>
      </w:r>
    </w:p>
    <w:p>
      <w:r>
        <w:t>The use case model identifies the Property Owner as the main portal user and shows the portal interactions needed for search, assessment, calculation, payment, receipt access and objections. The payment gateway is represented as an external supporting actor.</w:t>
      </w:r>
    </w:p>
    <w:p>
      <w:pPr>
        <w:jc w:val="center"/>
      </w:pPr>
      <w:r>
        <w:drawing>
          <wp:inline xmlns:a="http://schemas.openxmlformats.org/drawingml/2006/main" xmlns:pic="http://schemas.openxmlformats.org/drawingml/2006/picture">
            <wp:extent cx="5943600" cy="3544134"/>
            <wp:docPr id="1" name="Picture 1"/>
            <wp:cNvGraphicFramePr>
              <a:graphicFrameLocks noChangeAspect="1"/>
            </wp:cNvGraphicFramePr>
            <a:graphic>
              <a:graphicData uri="http://schemas.openxmlformats.org/drawingml/2006/picture">
                <pic:pic>
                  <pic:nvPicPr>
                    <pic:cNvPr id="0" name="uml_use_case_141.png"/>
                    <pic:cNvPicPr/>
                  </pic:nvPicPr>
                  <pic:blipFill>
                    <a:blip r:embed="rId11"/>
                    <a:stretch>
                      <a:fillRect/>
                    </a:stretch>
                  </pic:blipFill>
                  <pic:spPr>
                    <a:xfrm>
                      <a:off x="0" y="0"/>
                      <a:ext cx="5943600" cy="3544134"/>
                    </a:xfrm>
                    <a:prstGeom prst="rect"/>
                  </pic:spPr>
                </pic:pic>
              </a:graphicData>
            </a:graphic>
          </wp:inline>
        </w:drawing>
      </w:r>
    </w:p>
    <w:p>
      <w:pPr>
        <w:spacing w:before="160" w:after="80"/>
      </w:pPr>
      <w:r>
        <w:rPr>
          <w:b/>
          <w:color w:val="17365D"/>
          <w:sz w:val="30"/>
        </w:rPr>
        <w:t>4. Class Diagram</w:t>
      </w:r>
    </w:p>
    <w:p>
      <w:r>
        <w:t>The class model separates property information, assessment/calculation data, payment information and objections. This keeps the tax-calculation responsibility separate from payment processing and receipt generation.</w:t>
      </w:r>
    </w:p>
    <w:p>
      <w:pPr>
        <w:jc w:val="center"/>
      </w:pPr>
      <w:r>
        <w:drawing>
          <wp:inline xmlns:a="http://schemas.openxmlformats.org/drawingml/2006/main" xmlns:pic="http://schemas.openxmlformats.org/drawingml/2006/picture">
            <wp:extent cx="5943600" cy="3664274"/>
            <wp:docPr id="2" name="Picture 2"/>
            <wp:cNvGraphicFramePr>
              <a:graphicFrameLocks noChangeAspect="1"/>
            </wp:cNvGraphicFramePr>
            <a:graphic>
              <a:graphicData uri="http://schemas.openxmlformats.org/drawingml/2006/picture">
                <pic:pic>
                  <pic:nvPicPr>
                    <pic:cNvPr id="0" name="uml_class_141.png"/>
                    <pic:cNvPicPr/>
                  </pic:nvPicPr>
                  <pic:blipFill>
                    <a:blip r:embed="rId12"/>
                    <a:stretch>
                      <a:fillRect/>
                    </a:stretch>
                  </pic:blipFill>
                  <pic:spPr>
                    <a:xfrm>
                      <a:off x="0" y="0"/>
                      <a:ext cx="5943600" cy="3664274"/>
                    </a:xfrm>
                    <a:prstGeom prst="rect"/>
                  </pic:spPr>
                </pic:pic>
              </a:graphicData>
            </a:graphic>
          </wp:inline>
        </w:drawing>
      </w:r>
    </w:p>
    <w:p>
      <w:pPr>
        <w:spacing w:before="160" w:after="80"/>
      </w:pPr>
      <w:r>
        <w:rPr>
          <w:b/>
          <w:color w:val="17365D"/>
          <w:sz w:val="30"/>
        </w:rPr>
        <w:t>5. Sequence Diagram – Self-Assess Property Tax and Pay</w:t>
      </w:r>
    </w:p>
    <w:p>
      <w:r>
        <w:t>The sequence follows the required flow: search the property, enter assessment data, validate it, calculate the tax, confirm payment, process the payment and generate the receipt.</w:t>
      </w:r>
    </w:p>
    <w:p>
      <w:pPr>
        <w:jc w:val="center"/>
      </w:pPr>
      <w:r>
        <w:drawing>
          <wp:inline xmlns:a="http://schemas.openxmlformats.org/drawingml/2006/main" xmlns:pic="http://schemas.openxmlformats.org/drawingml/2006/picture">
            <wp:extent cx="5943600" cy="3844485"/>
            <wp:docPr id="3" name="Picture 3"/>
            <wp:cNvGraphicFramePr>
              <a:graphicFrameLocks noChangeAspect="1"/>
            </wp:cNvGraphicFramePr>
            <a:graphic>
              <a:graphicData uri="http://schemas.openxmlformats.org/drawingml/2006/picture">
                <pic:pic>
                  <pic:nvPicPr>
                    <pic:cNvPr id="0" name="uml_sequence_141.png"/>
                    <pic:cNvPicPr/>
                  </pic:nvPicPr>
                  <pic:blipFill>
                    <a:blip r:embed="rId13"/>
                    <a:stretch>
                      <a:fillRect/>
                    </a:stretch>
                  </pic:blipFill>
                  <pic:spPr>
                    <a:xfrm>
                      <a:off x="0" y="0"/>
                      <a:ext cx="5943600" cy="3844485"/>
                    </a:xfrm>
                    <a:prstGeom prst="rect"/>
                  </pic:spPr>
                </pic:pic>
              </a:graphicData>
            </a:graphic>
          </wp:inline>
        </w:drawing>
      </w:r>
    </w:p>
    <w:p>
      <w:pPr>
        <w:spacing w:before="160" w:after="80"/>
      </w:pPr>
      <w:r>
        <w:rPr>
          <w:b/>
          <w:color w:val="17365D"/>
          <w:sz w:val="30"/>
        </w:rPr>
        <w:t>6. Activity Diagram</w:t>
      </w:r>
    </w:p>
    <w:p>
      <w:r>
        <w:t>The activity flow shows the assessment and payment process from start to completion, including input validation and the validation-error path.</w:t>
      </w:r>
    </w:p>
    <w:p>
      <w:pPr>
        <w:jc w:val="center"/>
      </w:pPr>
      <w:r>
        <w:drawing>
          <wp:inline xmlns:a="http://schemas.openxmlformats.org/drawingml/2006/main" xmlns:pic="http://schemas.openxmlformats.org/drawingml/2006/picture">
            <wp:extent cx="5303520" cy="6072146"/>
            <wp:docPr id="4" name="Picture 4"/>
            <wp:cNvGraphicFramePr>
              <a:graphicFrameLocks noChangeAspect="1"/>
            </wp:cNvGraphicFramePr>
            <a:graphic>
              <a:graphicData uri="http://schemas.openxmlformats.org/drawingml/2006/picture">
                <pic:pic>
                  <pic:nvPicPr>
                    <pic:cNvPr id="0" name="uml_activity_141.png"/>
                    <pic:cNvPicPr/>
                  </pic:nvPicPr>
                  <pic:blipFill>
                    <a:blip r:embed="rId14"/>
                    <a:stretch>
                      <a:fillRect/>
                    </a:stretch>
                  </pic:blipFill>
                  <pic:spPr>
                    <a:xfrm>
                      <a:off x="0" y="0"/>
                      <a:ext cx="5303520" cy="6072146"/>
                    </a:xfrm>
                    <a:prstGeom prst="rect"/>
                  </pic:spPr>
                </pic:pic>
              </a:graphicData>
            </a:graphic>
          </wp:inline>
        </w:drawing>
      </w:r>
    </w:p>
    <w:p>
      <w:pPr>
        <w:spacing w:before="160" w:after="80"/>
      </w:pPr>
      <w:r>
        <w:rPr>
          <w:b/>
          <w:color w:val="17365D"/>
          <w:sz w:val="30"/>
        </w:rPr>
        <w:t>7. State Diagram – Assessment</w:t>
      </w:r>
    </w:p>
    <w:p>
      <w:r>
        <w:t>The assessment moves through draft, submission, validation, calculation, payment and receipt issuance. An objection workflow is represented separately because the case study explicitly identifies objections as a scope decision.</w:t>
      </w:r>
    </w:p>
    <w:p>
      <w:pPr>
        <w:jc w:val="center"/>
      </w:pPr>
      <w:r>
        <w:drawing>
          <wp:inline xmlns:a="http://schemas.openxmlformats.org/drawingml/2006/main" xmlns:pic="http://schemas.openxmlformats.org/drawingml/2006/picture">
            <wp:extent cx="5760720" cy="3937707"/>
            <wp:docPr id="5" name="Picture 5"/>
            <wp:cNvGraphicFramePr>
              <a:graphicFrameLocks noChangeAspect="1"/>
            </wp:cNvGraphicFramePr>
            <a:graphic>
              <a:graphicData uri="http://schemas.openxmlformats.org/drawingml/2006/picture">
                <pic:pic>
                  <pic:nvPicPr>
                    <pic:cNvPr id="0" name="uml_state_141.png"/>
                    <pic:cNvPicPr/>
                  </pic:nvPicPr>
                  <pic:blipFill>
                    <a:blip r:embed="rId15"/>
                    <a:stretch>
                      <a:fillRect/>
                    </a:stretch>
                  </pic:blipFill>
                  <pic:spPr>
                    <a:xfrm>
                      <a:off x="0" y="0"/>
                      <a:ext cx="5760720" cy="3937707"/>
                    </a:xfrm>
                    <a:prstGeom prst="rect"/>
                  </pic:spPr>
                </pic:pic>
              </a:graphicData>
            </a:graphic>
          </wp:inline>
        </w:drawing>
      </w:r>
    </w:p>
    <w:p>
      <w:pPr>
        <w:spacing w:before="160" w:after="80"/>
      </w:pPr>
      <w:r>
        <w:rPr>
          <w:b/>
          <w:color w:val="17365D"/>
          <w:sz w:val="30"/>
        </w:rPr>
        <w:t>8. Cohesion and Coupling Justification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b/>
                <w:color w:val="FFFFFF"/>
                <w:sz w:val="18"/>
              </w:rPr>
              <w:t>Module</w:t>
            </w:r>
          </w:p>
        </w:tc>
        <w:tc>
          <w:tcPr>
            <w:tcW w:type="dxa" w:w="3360"/>
            <w:vAlign w:val="center"/>
            <w:shd w:fill="17365D"/>
          </w:tcPr>
          <w:p>
            <w:r/>
            <w:r>
              <w:rPr>
                <w:b/>
                <w:color w:val="FFFFFF"/>
                <w:sz w:val="18"/>
              </w:rPr>
              <w:t>Responsibility</w:t>
            </w:r>
          </w:p>
        </w:tc>
        <w:tc>
          <w:tcPr>
            <w:tcW w:type="dxa" w:w="3360"/>
            <w:vAlign w:val="center"/>
            <w:shd w:fill="17365D"/>
          </w:tcPr>
          <w:p>
            <w:r/>
            <w:r>
              <w:rPr>
                <w:b/>
                <w:color w:val="FFFFFF"/>
                <w:sz w:val="18"/>
              </w:rPr>
              <w:t>Cohesion / Coupling Approach</w:t>
            </w:r>
          </w:p>
        </w:tc>
      </w:tr>
      <w:tr>
        <w:tc>
          <w:tcPr>
            <w:tcW w:type="dxa" w:w="3360"/>
            <w:vAlign w:val="center"/>
          </w:tcPr>
          <w:p>
            <w:r/>
            <w:r>
              <w:rPr>
                <w:b w:val="0"/>
                <w:color w:val="000000"/>
                <w:sz w:val="17"/>
              </w:rPr>
              <w:t>Property Search</w:t>
            </w:r>
          </w:p>
        </w:tc>
        <w:tc>
          <w:tcPr>
            <w:tcW w:type="dxa" w:w="3360"/>
            <w:vAlign w:val="center"/>
          </w:tcPr>
          <w:p>
            <w:r/>
            <w:r>
              <w:rPr>
                <w:b w:val="0"/>
                <w:color w:val="000000"/>
                <w:sz w:val="17"/>
              </w:rPr>
              <w:t>Find and display property information</w:t>
            </w:r>
          </w:p>
        </w:tc>
        <w:tc>
          <w:tcPr>
            <w:tcW w:type="dxa" w:w="3360"/>
            <w:vAlign w:val="center"/>
          </w:tcPr>
          <w:p>
            <w:r/>
            <w:r>
              <w:rPr>
                <w:b w:val="0"/>
                <w:color w:val="000000"/>
                <w:sz w:val="17"/>
              </w:rPr>
              <w:t>High cohesion; exposes property data without owning payment logic.</w:t>
            </w:r>
          </w:p>
        </w:tc>
      </w:tr>
      <w:tr>
        <w:tc>
          <w:tcPr>
            <w:tcW w:type="dxa" w:w="3360"/>
            <w:vAlign w:val="center"/>
          </w:tcPr>
          <w:p>
            <w:r/>
            <w:r>
              <w:rPr>
                <w:b w:val="0"/>
                <w:color w:val="000000"/>
                <w:sz w:val="17"/>
              </w:rPr>
              <w:t>Tax Assessment &amp; Calculator</w:t>
            </w:r>
          </w:p>
        </w:tc>
        <w:tc>
          <w:tcPr>
            <w:tcW w:type="dxa" w:w="3360"/>
            <w:vAlign w:val="center"/>
          </w:tcPr>
          <w:p>
            <w:r/>
            <w:r>
              <w:rPr>
                <w:b w:val="0"/>
                <w:color w:val="000000"/>
                <w:sz w:val="17"/>
              </w:rPr>
              <w:t>Validate assessment inputs and calculate tax</w:t>
            </w:r>
          </w:p>
        </w:tc>
        <w:tc>
          <w:tcPr>
            <w:tcW w:type="dxa" w:w="3360"/>
            <w:vAlign w:val="center"/>
          </w:tcPr>
          <w:p>
            <w:r/>
            <w:r>
              <w:rPr>
                <w:b w:val="0"/>
                <w:color w:val="000000"/>
                <w:sz w:val="17"/>
              </w:rPr>
              <w:t>High cohesion; calculation rules remain within the assessment/calculator responsibility.</w:t>
            </w:r>
          </w:p>
        </w:tc>
      </w:tr>
      <w:tr>
        <w:tc>
          <w:tcPr>
            <w:tcW w:type="dxa" w:w="3360"/>
            <w:vAlign w:val="center"/>
          </w:tcPr>
          <w:p>
            <w:r/>
            <w:r>
              <w:rPr>
                <w:b w:val="0"/>
                <w:color w:val="000000"/>
                <w:sz w:val="17"/>
              </w:rPr>
              <w:t>Payment</w:t>
            </w:r>
          </w:p>
        </w:tc>
        <w:tc>
          <w:tcPr>
            <w:tcW w:type="dxa" w:w="3360"/>
            <w:vAlign w:val="center"/>
          </w:tcPr>
          <w:p>
            <w:r/>
            <w:r>
              <w:rPr>
                <w:b w:val="0"/>
                <w:color w:val="000000"/>
                <w:sz w:val="17"/>
              </w:rPr>
              <w:t>Process payment and maintain payment status</w:t>
            </w:r>
          </w:p>
        </w:tc>
        <w:tc>
          <w:tcPr>
            <w:tcW w:type="dxa" w:w="3360"/>
            <w:vAlign w:val="center"/>
          </w:tcPr>
          <w:p>
            <w:r/>
            <w:r>
              <w:rPr>
                <w:b w:val="0"/>
                <w:color w:val="000000"/>
                <w:sz w:val="17"/>
              </w:rPr>
              <w:t>Separate from tax calculation; interacts through the calculated payable amount.</w:t>
            </w:r>
          </w:p>
        </w:tc>
      </w:tr>
      <w:tr>
        <w:tc>
          <w:tcPr>
            <w:tcW w:type="dxa" w:w="3360"/>
            <w:vAlign w:val="center"/>
          </w:tcPr>
          <w:p>
            <w:r/>
            <w:r>
              <w:rPr>
                <w:b w:val="0"/>
                <w:color w:val="000000"/>
                <w:sz w:val="17"/>
              </w:rPr>
              <w:t>Receipt</w:t>
            </w:r>
          </w:p>
        </w:tc>
        <w:tc>
          <w:tcPr>
            <w:tcW w:type="dxa" w:w="3360"/>
            <w:vAlign w:val="center"/>
          </w:tcPr>
          <w:p>
            <w:r/>
            <w:r>
              <w:rPr>
                <w:b w:val="0"/>
                <w:color w:val="000000"/>
                <w:sz w:val="17"/>
              </w:rPr>
              <w:t>Generate and provide payment receipt</w:t>
            </w:r>
          </w:p>
        </w:tc>
        <w:tc>
          <w:tcPr>
            <w:tcW w:type="dxa" w:w="3360"/>
            <w:vAlign w:val="center"/>
          </w:tcPr>
          <w:p>
            <w:r/>
            <w:r>
              <w:rPr>
                <w:b w:val="0"/>
                <w:color w:val="000000"/>
                <w:sz w:val="17"/>
              </w:rPr>
              <w:t>Focused on receipt generation rather than calculation or payment rules.</w:t>
            </w:r>
          </w:p>
        </w:tc>
      </w:tr>
      <w:tr>
        <w:tc>
          <w:tcPr>
            <w:tcW w:type="dxa" w:w="3360"/>
            <w:vAlign w:val="center"/>
          </w:tcPr>
          <w:p>
            <w:r/>
            <w:r>
              <w:rPr>
                <w:b w:val="0"/>
                <w:color w:val="000000"/>
                <w:sz w:val="17"/>
              </w:rPr>
              <w:t>Objection</w:t>
            </w:r>
          </w:p>
        </w:tc>
        <w:tc>
          <w:tcPr>
            <w:tcW w:type="dxa" w:w="3360"/>
            <w:vAlign w:val="center"/>
          </w:tcPr>
          <w:p>
            <w:r/>
            <w:r>
              <w:rPr>
                <w:b w:val="0"/>
                <w:color w:val="000000"/>
                <w:sz w:val="17"/>
              </w:rPr>
              <w:t>Capture and track an objection</w:t>
            </w:r>
          </w:p>
        </w:tc>
        <w:tc>
          <w:tcPr>
            <w:tcW w:type="dxa" w:w="3360"/>
            <w:vAlign w:val="center"/>
          </w:tcPr>
          <w:p>
            <w:r/>
            <w:r>
              <w:rPr>
                <w:b w:val="0"/>
                <w:color w:val="000000"/>
                <w:sz w:val="17"/>
              </w:rPr>
              <w:t>Separate workflow so legal/administrative handling does not tightly couple with calculation.</w:t>
            </w:r>
          </w:p>
        </w:tc>
      </w:tr>
    </w:tbl>
    <w:p/>
    <w:p>
      <w:r>
        <w:t>The design aims for high cohesion by keeping each module focused on one major responsibility. Coupling is kept low by passing only the required information between modules, such as property/assessment data to the calculator and the final payable amount to payment processing.</w:t>
      </w:r>
    </w:p>
    <w:p>
      <w:pPr>
        <w:spacing w:before="160" w:after="80"/>
      </w:pPr>
      <w:r>
        <w:rPr>
          <w:b/>
          <w:color w:val="17365D"/>
          <w:sz w:val="30"/>
        </w:rPr>
        <w:t>9. UML Consistency Notes</w:t>
      </w:r>
    </w:p>
    <w:p>
      <w:pPr>
        <w:pStyle w:val="ListBullet"/>
        <w:spacing w:after="40"/>
      </w:pPr>
      <w:r>
        <w:rPr>
          <w:sz w:val="19"/>
        </w:rPr>
        <w:t>The same core concepts—Property, Assessment, Payment, Receipt and Objection—are used consistently across the diagrams.</w:t>
      </w:r>
    </w:p>
    <w:p>
      <w:pPr>
        <w:pStyle w:val="ListBullet"/>
        <w:spacing w:after="40"/>
      </w:pPr>
      <w:r>
        <w:rPr>
          <w:sz w:val="19"/>
        </w:rPr>
        <w:t>The sequence diagram specifically models the 'self-assess property tax and pay' flow required by the case study.</w:t>
      </w:r>
    </w:p>
    <w:p>
      <w:pPr>
        <w:pStyle w:val="ListBullet"/>
        <w:spacing w:after="40"/>
      </w:pPr>
      <w:r>
        <w:rPr>
          <w:sz w:val="19"/>
        </w:rPr>
        <w:t>Validation is represented in both the activity flow and the assessment state flow.</w:t>
      </w:r>
    </w:p>
    <w:p>
      <w:pPr>
        <w:pStyle w:val="ListBullet"/>
        <w:spacing w:after="40"/>
      </w:pPr>
      <w:r>
        <w:rPr>
          <w:sz w:val="19"/>
        </w:rPr>
        <w:t>The objection workflow is kept separate from the core payment flow because the case study identifies it as a scope decision.</w:t>
      </w:r>
    </w:p>
    <w:p>
      <w:pPr>
        <w:pStyle w:val="ListBullet"/>
        <w:spacing w:after="40"/>
      </w:pPr>
      <w:r>
        <w:rPr>
          <w:sz w:val="19"/>
        </w:rPr>
        <w:t>The diagrams are intended as a clean design model for the individual case study; implementation-specific APIs or technologies are not assumed here.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Ragini Singh • 150096724023 • Case Study 141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SOFTWARE ENGINEERING &amp; PROJECT MANAGEMENT  |  CASE STUDY 141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