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ENGINEERING &amp; PROJECT MANAGEMENT</w:t>
      </w:r>
    </w:p>
    <w:p>
      <w:pPr>
        <w:jc w:val="center"/>
      </w:pPr>
      <w:r>
        <w:rPr>
          <w:b/>
          <w:sz w:val="44"/>
        </w:rPr>
        <w:t>SOFTWARE REQUIREMENTS SPECIFICATION (SRS)</w:t>
      </w:r>
    </w:p>
    <w:p>
      <w:pPr>
        <w:jc w:val="center"/>
      </w:pPr>
      <w:r>
        <w:rPr>
          <w:b/>
          <w:sz w:val="36"/>
        </w:rPr>
        <w:br/>
        <w:t>PropTax – Online Property Tax Self-Assessment and Payment Portal</w:t>
      </w:r>
    </w:p>
    <w:p>
      <w:pPr>
        <w:jc w:val="center"/>
      </w:pPr>
      <w:r>
        <w:rPr>
          <w:b/>
        </w:rPr>
        <w:br/>
        <w:t>Case Study No.: 141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Student Name</w:t>
            </w:r>
          </w:p>
        </w:tc>
        <w:tc>
          <w:tcPr>
            <w:tcW w:type="dxa" w:w="4968"/>
            <w:vAlign w:val="center"/>
          </w:tcPr>
          <w:p>
            <w:r/>
            <w:r>
              <w:rPr>
                <w:b w:val="0"/>
                <w:sz w:val="18"/>
              </w:rPr>
              <w:t>Ragini Singh</w:t>
            </w:r>
          </w:p>
        </w:tc>
      </w:tr>
      <w:tr>
        <w:tc>
          <w:tcPr>
            <w:tcW w:type="dxa" w:w="4968"/>
            <w:vAlign w:val="center"/>
            <w:shd w:fill="EAF2F8"/>
          </w:tcPr>
          <w:p>
            <w:r/>
            <w:r>
              <w:rPr>
                <w:b/>
                <w:sz w:val="18"/>
              </w:rPr>
              <w:t>Roll No.</w:t>
            </w:r>
          </w:p>
        </w:tc>
        <w:tc>
          <w:tcPr>
            <w:tcW w:type="dxa" w:w="4968"/>
            <w:vAlign w:val="center"/>
          </w:tcPr>
          <w:p>
            <w:r/>
            <w:r>
              <w:rPr>
                <w:b w:val="0"/>
                <w:sz w:val="18"/>
              </w:rPr>
              <w:t>150096724023</w:t>
            </w:r>
          </w:p>
        </w:tc>
      </w:tr>
      <w:tr>
        <w:tc>
          <w:tcPr>
            <w:tcW w:type="dxa" w:w="4968"/>
            <w:vAlign w:val="center"/>
            <w:shd w:fill="EAF2F8"/>
          </w:tcPr>
          <w:p>
            <w:r/>
            <w:r>
              <w:rPr>
                <w:b/>
                <w:sz w:val="18"/>
              </w:rPr>
              <w:t>Subject</w:t>
            </w:r>
          </w:p>
        </w:tc>
        <w:tc>
          <w:tcPr>
            <w:tcW w:type="dxa" w:w="4968"/>
            <w:vAlign w:val="center"/>
          </w:tcPr>
          <w:p>
            <w:r/>
            <w:r>
              <w:rPr>
                <w:b w:val="0"/>
                <w:sz w:val="18"/>
              </w:rPr>
              <w:t>Software Engineering &amp; Project Management</w:t>
            </w:r>
          </w:p>
        </w:tc>
      </w:tr>
      <w:tr>
        <w:tc>
          <w:tcPr>
            <w:tcW w:type="dxa" w:w="4968"/>
            <w:vAlign w:val="center"/>
            <w:shd w:fill="EAF2F8"/>
          </w:tcPr>
          <w:p>
            <w:r/>
            <w:r>
              <w:rPr>
                <w:b/>
                <w:sz w:val="18"/>
              </w:rPr>
              <w:t>Examination</w:t>
            </w:r>
          </w:p>
        </w:tc>
        <w:tc>
          <w:tcPr>
            <w:tcW w:type="dxa" w:w="4968"/>
            <w:vAlign w:val="center"/>
          </w:tcPr>
          <w:p>
            <w:r/>
            <w:r>
              <w:rPr>
                <w:b w:val="0"/>
                <w:sz w:val="18"/>
              </w:rPr>
              <w:t>Semester V – Sprint 1 Examination</w:t>
            </w:r>
          </w:p>
        </w:tc>
      </w:tr>
      <w:tr>
        <w:tc>
          <w:tcPr>
            <w:tcW w:type="dxa" w:w="4968"/>
            <w:vAlign w:val="center"/>
            <w:shd w:fill="EAF2F8"/>
          </w:tcPr>
          <w:p>
            <w:r/>
            <w:r>
              <w:rPr>
                <w:b/>
                <w:sz w:val="18"/>
              </w:rPr>
              <w:t>Programme</w:t>
            </w:r>
          </w:p>
        </w:tc>
        <w:tc>
          <w:tcPr>
            <w:tcW w:type="dxa" w:w="4968"/>
            <w:vAlign w:val="center"/>
          </w:tcPr>
          <w:p>
            <w:r/>
            <w:r>
              <w:rPr>
                <w:b w:val="0"/>
                <w:sz w:val="18"/>
              </w:rPr>
              <w:t>B.Tech Computer Science &amp; Engineering</w:t>
            </w:r>
          </w:p>
        </w:tc>
      </w:tr>
      <w:tr>
        <w:tc>
          <w:tcPr>
            <w:tcW w:type="dxa" w:w="4968"/>
            <w:vAlign w:val="center"/>
            <w:shd w:fill="EAF2F8"/>
          </w:tcPr>
          <w:p>
            <w:r/>
            <w:r>
              <w:rPr>
                <w:b/>
                <w:sz w:val="18"/>
              </w:rPr>
              <w:t>Batch</w:t>
            </w:r>
          </w:p>
        </w:tc>
        <w:tc>
          <w:tcPr>
            <w:tcW w:type="dxa" w:w="4968"/>
            <w:vAlign w:val="center"/>
          </w:tcPr>
          <w:p>
            <w:r/>
            <w:r>
              <w:rPr>
                <w:b w:val="0"/>
                <w:sz w:val="18"/>
              </w:rPr>
              <w:t>2025–29</w:t>
            </w:r>
          </w:p>
        </w:tc>
      </w:tr>
    </w:tbl>
    <w:p>
      <w:pPr>
        <w:jc w:val="center"/>
      </w:pPr>
      <w:r>
        <w:rPr>
          <w:i/>
        </w:rPr>
        <w:br/>
        <w:t>Individual Case Study Submission</w:t>
      </w:r>
    </w:p>
    <w:p>
      <w:r>
        <w:br w:type="page"/>
      </w:r>
    </w:p>
    <w:p>
      <w:pPr>
        <w:pStyle w:val="Heading1"/>
      </w:pPr>
      <w:r>
        <w:t>Table of Contents</w:t>
      </w:r>
    </w:p>
    <w:p>
      <w:r>
        <w:t>1. Introduction</w:t>
      </w:r>
    </w:p>
    <w:p>
      <w:r>
        <w:t>2. Project Objectives</w:t>
      </w:r>
    </w:p>
    <w:p>
      <w:r>
        <w:t>3. Stakeholders</w:t>
      </w:r>
    </w:p>
    <w:p>
      <w:r>
        <w:t>4. System Overview</w:t>
      </w:r>
    </w:p>
    <w:p>
      <w:r>
        <w:t>5. Scope</w:t>
      </w:r>
    </w:p>
    <w:p>
      <w:r>
        <w:t>6. Project Constraints</w:t>
      </w:r>
    </w:p>
    <w:p>
      <w:r>
        <w:t>7. Functional Requirements</w:t>
      </w:r>
    </w:p>
    <w:p>
      <w:r>
        <w:t>8. Non-Functional Requirements</w:t>
      </w:r>
    </w:p>
    <w:p>
      <w:r>
        <w:t>9. MoSCoW Prioritization</w:t>
      </w:r>
    </w:p>
    <w:p>
      <w:r>
        <w:t>10. Assumptions</w:t>
      </w:r>
    </w:p>
    <w:p>
      <w:r>
        <w:t>11. Requirement Traceability Matrix</w:t>
      </w:r>
    </w:p>
    <w:p>
      <w:r>
        <w:t>12. Release Scope Decision</w:t>
      </w:r>
    </w:p>
    <w:p>
      <w:r>
        <w:t>13. Conclusion</w:t>
      </w:r>
    </w:p>
    <w:p>
      <w:r>
        <w:br w:type="page"/>
      </w:r>
    </w:p>
    <w:p>
      <w:pPr>
        <w:pStyle w:val="Heading1"/>
      </w:pPr>
      <w:r>
        <w:t>1. Introduction</w:t>
      </w:r>
    </w:p>
    <w:p>
      <w:pPr>
        <w:pStyle w:val="Heading2"/>
      </w:pPr>
      <w:r>
        <w:t>1.1 Purpose</w:t>
      </w:r>
    </w:p>
    <w:p>
      <w:r>
        <w:t>This Software Requirements Specification defines the requirements for PropTax – Online Property Tax Self-Assessment and Payment Portal. The purpose of the system is to provide an online platform through which property owners can search for their property, perform property tax self-assessment, calculate the applicable tax, make online payments and obtain payment receipts. This document defines the functional requirements, non-functional requirements, scope, constraints and requirement priorities of the proposed system.</w:t>
      </w:r>
    </w:p>
    <w:p>
      <w:pPr>
        <w:pStyle w:val="Heading2"/>
      </w:pPr>
      <w:r>
        <w:t>1.2 Problem Statement</w:t>
      </w:r>
    </w:p>
    <w:p>
      <w:r>
        <w:t>A city of 9 lakh people collects property tax from approximately 1.8 lakh properties, mainly through ward offices. Self-assessment is legally allowed, but the current process is paper-based. Property owners also face difficulty understanding rate tables, resulting in frequent disputes. The corporation therefore requires an online portal that supports property search, self-assessment, tax calculation, online payment, payment receipts and an objections workflow. However, the IT cell has indicated that the objection process involves legal procedures and may require additional time.</w:t>
      </w:r>
    </w:p>
    <w:p>
      <w:pPr>
        <w:pStyle w:val="Heading1"/>
      </w:pPr>
      <w:r>
        <w:t>2. Project Objectives</w:t>
      </w:r>
    </w:p>
    <w:p>
      <w:pPr>
        <w:pStyle w:val="ListBullet"/>
      </w:pPr>
      <w:r>
        <w:t>Provide online property search.</w:t>
      </w:r>
    </w:p>
    <w:p>
      <w:pPr>
        <w:pStyle w:val="ListBullet"/>
      </w:pPr>
      <w:r>
        <w:t>Allow property owners to perform self-assessment.</w:t>
      </w:r>
    </w:p>
    <w:p>
      <w:pPr>
        <w:pStyle w:val="ListBullet"/>
      </w:pPr>
      <w:r>
        <w:t>Calculate property tax using applicable rate tables.</w:t>
      </w:r>
    </w:p>
    <w:p>
      <w:pPr>
        <w:pStyle w:val="ListBullet"/>
      </w:pPr>
      <w:r>
        <w:t>Apply applicable rebate rules.</w:t>
      </w:r>
    </w:p>
    <w:p>
      <w:pPr>
        <w:pStyle w:val="ListBullet"/>
      </w:pPr>
      <w:r>
        <w:t>Allow online tax payment.</w:t>
      </w:r>
    </w:p>
    <w:p>
      <w:pPr>
        <w:pStyle w:val="ListBullet"/>
      </w:pPr>
      <w:r>
        <w:t>Generate payment receipts.</w:t>
      </w:r>
    </w:p>
    <w:p>
      <w:pPr>
        <w:pStyle w:val="ListBullet"/>
      </w:pPr>
      <w:r>
        <w:t>Provide a structured assessment and payment process.</w:t>
      </w:r>
    </w:p>
    <w:p>
      <w:pPr>
        <w:pStyle w:val="ListBullet"/>
      </w:pPr>
      <w:r>
        <w:t>Reduce dependency on paper-based tax assessment.</w:t>
      </w:r>
    </w:p>
    <w:p>
      <w:pPr>
        <w:pStyle w:val="ListBullet"/>
      </w:pPr>
      <w:r>
        <w:t>Define measurable requirements for calculation accuracy, availability and security.</w:t>
      </w:r>
    </w:p>
    <w:p>
      <w:pPr>
        <w:pStyle w:val="ListBullet"/>
      </w:pPr>
      <w:r>
        <w:t>Establish a clear and justified scope for the first release.</w:t>
      </w:r>
    </w:p>
    <w:p>
      <w:pPr>
        <w:pStyle w:val="Heading1"/>
      </w:pPr>
      <w:r>
        <w:t>3. Stakeholders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Stakeholder</w:t>
            </w:r>
          </w:p>
        </w:tc>
        <w:tc>
          <w:tcPr>
            <w:tcW w:type="dxa" w:w="4968"/>
            <w:vAlign w:val="center"/>
            <w:shd w:fill="D9EAF7"/>
          </w:tcPr>
          <w:p>
            <w:r/>
            <w:r>
              <w:rPr>
                <w:b/>
                <w:sz w:val="18"/>
              </w:rPr>
              <w:t>Requirement / Interest</w:t>
            </w:r>
          </w:p>
        </w:tc>
      </w:tr>
      <w:tr>
        <w:tc>
          <w:tcPr>
            <w:tcW w:type="dxa" w:w="4968"/>
            <w:vAlign w:val="center"/>
          </w:tcPr>
          <w:p>
            <w:r/>
            <w:r>
              <w:rPr>
                <w:b w:val="0"/>
                <w:sz w:val="18"/>
              </w:rPr>
              <w:t>Property Owners</w:t>
            </w:r>
          </w:p>
        </w:tc>
        <w:tc>
          <w:tcPr>
            <w:tcW w:type="dxa" w:w="4968"/>
            <w:vAlign w:val="center"/>
          </w:tcPr>
          <w:p>
            <w:r/>
            <w:r>
              <w:rPr>
                <w:b w:val="0"/>
                <w:sz w:val="18"/>
              </w:rPr>
              <w:t>Search property, self-assess tax, pay tax and receive receipts.</w:t>
            </w:r>
          </w:p>
        </w:tc>
      </w:tr>
      <w:tr>
        <w:tc>
          <w:tcPr>
            <w:tcW w:type="dxa" w:w="4968"/>
            <w:vAlign w:val="center"/>
          </w:tcPr>
          <w:p>
            <w:r/>
            <w:r>
              <w:rPr>
                <w:b w:val="0"/>
                <w:sz w:val="18"/>
              </w:rPr>
              <w:t>Revenue Department</w:t>
            </w:r>
          </w:p>
        </w:tc>
        <w:tc>
          <w:tcPr>
            <w:tcW w:type="dxa" w:w="4968"/>
            <w:vAlign w:val="center"/>
          </w:tcPr>
          <w:p>
            <w:r/>
            <w:r>
              <w:rPr>
                <w:b w:val="0"/>
                <w:sz w:val="18"/>
              </w:rPr>
              <w:t>Manage property-tax collection and related processes.</w:t>
            </w:r>
          </w:p>
        </w:tc>
      </w:tr>
      <w:tr>
        <w:tc>
          <w:tcPr>
            <w:tcW w:type="dxa" w:w="4968"/>
            <w:vAlign w:val="center"/>
          </w:tcPr>
          <w:p>
            <w:r/>
            <w:r>
              <w:rPr>
                <w:b w:val="0"/>
                <w:sz w:val="18"/>
              </w:rPr>
              <w:t>IT Cell</w:t>
            </w:r>
          </w:p>
        </w:tc>
        <w:tc>
          <w:tcPr>
            <w:tcW w:type="dxa" w:w="4968"/>
            <w:vAlign w:val="center"/>
          </w:tcPr>
          <w:p>
            <w:r/>
            <w:r>
              <w:rPr>
                <w:b w:val="0"/>
                <w:sz w:val="18"/>
              </w:rPr>
              <w:t>Develop, maintain and secure the online portal.</w:t>
            </w:r>
          </w:p>
        </w:tc>
      </w:tr>
      <w:tr>
        <w:tc>
          <w:tcPr>
            <w:tcW w:type="dxa" w:w="4968"/>
            <w:vAlign w:val="center"/>
          </w:tcPr>
          <w:p>
            <w:r/>
            <w:r>
              <w:rPr>
                <w:b w:val="0"/>
                <w:sz w:val="18"/>
              </w:rPr>
              <w:t>City Corporation</w:t>
            </w:r>
          </w:p>
        </w:tc>
        <w:tc>
          <w:tcPr>
            <w:tcW w:type="dxa" w:w="4968"/>
            <w:vAlign w:val="center"/>
          </w:tcPr>
          <w:p>
            <w:r/>
            <w:r>
              <w:rPr>
                <w:b w:val="0"/>
                <w:sz w:val="18"/>
              </w:rPr>
              <w:t>Improve online property-tax collection.</w:t>
            </w:r>
          </w:p>
        </w:tc>
      </w:tr>
      <w:tr>
        <w:tc>
          <w:tcPr>
            <w:tcW w:type="dxa" w:w="4968"/>
            <w:vAlign w:val="center"/>
          </w:tcPr>
          <w:p>
            <w:r/>
            <w:r>
              <w:rPr>
                <w:b w:val="0"/>
                <w:sz w:val="18"/>
              </w:rPr>
              <w:t>Legal / Objection Stakeholders</w:t>
            </w:r>
          </w:p>
        </w:tc>
        <w:tc>
          <w:tcPr>
            <w:tcW w:type="dxa" w:w="4968"/>
            <w:vAlign w:val="center"/>
          </w:tcPr>
          <w:p>
            <w:r/>
            <w:r>
              <w:rPr>
                <w:b w:val="0"/>
                <w:sz w:val="18"/>
              </w:rPr>
              <w:t>Support legal procedures related to objections.</w:t>
            </w:r>
          </w:p>
        </w:tc>
      </w:tr>
    </w:tbl>
    <w:p/>
    <w:p>
      <w:pPr>
        <w:pStyle w:val="Heading1"/>
      </w:pPr>
      <w:r>
        <w:t>4. System Overview</w:t>
      </w:r>
    </w:p>
    <w:p>
      <w:r>
        <w:t>The proposed PropTax portal provides an online flow for property owners to complete the core property-tax process.</w:t>
      </w:r>
    </w:p>
    <w:p>
      <w:pPr>
        <w:jc w:val="center"/>
      </w:pPr>
      <w:r>
        <w:rPr>
          <w:b/>
        </w:rPr>
        <w:t>Property Search → Self-Assessment → Tax Calculation → Rebate Application → Payment → Receipt</w:t>
      </w:r>
    </w:p>
    <w:p>
      <w:r>
        <w:t>The system will use the applicable rate-table and rebate rules during calculation. The objection workflow is treated separately because the case study states that it involves legal procedures and requires additional time.</w:t>
      </w:r>
    </w:p>
    <w:p>
      <w:pPr>
        <w:pStyle w:val="Heading1"/>
      </w:pPr>
      <w:r>
        <w:t>5. Scope</w:t>
      </w:r>
    </w:p>
    <w:p>
      <w:pPr>
        <w:pStyle w:val="Heading2"/>
      </w:pPr>
      <w:r>
        <w:t>5.1 In-Scope</w:t>
      </w:r>
    </w:p>
    <w:p>
      <w:pPr>
        <w:pStyle w:val="ListBullet"/>
      </w:pPr>
      <w:r>
        <w:t>Property search.</w:t>
      </w:r>
    </w:p>
    <w:p>
      <w:pPr>
        <w:pStyle w:val="ListBullet"/>
      </w:pPr>
      <w:r>
        <w:t>Property information display.</w:t>
      </w:r>
    </w:p>
    <w:p>
      <w:pPr>
        <w:pStyle w:val="ListBullet"/>
      </w:pPr>
      <w:r>
        <w:t>Property self-assessment.</w:t>
      </w:r>
    </w:p>
    <w:p>
      <w:pPr>
        <w:pStyle w:val="ListBullet"/>
      </w:pPr>
      <w:r>
        <w:t>Property-related information entry.</w:t>
      </w:r>
    </w:p>
    <w:p>
      <w:pPr>
        <w:pStyle w:val="ListBullet"/>
      </w:pPr>
      <w:r>
        <w:t>Property tax calculation.</w:t>
      </w:r>
    </w:p>
    <w:p>
      <w:pPr>
        <w:pStyle w:val="ListBullet"/>
      </w:pPr>
      <w:r>
        <w:t>Rate-table application.</w:t>
      </w:r>
    </w:p>
    <w:p>
      <w:pPr>
        <w:pStyle w:val="ListBullet"/>
      </w:pPr>
      <w:r>
        <w:t>Rebate rule application.</w:t>
      </w:r>
    </w:p>
    <w:p>
      <w:pPr>
        <w:pStyle w:val="ListBullet"/>
      </w:pPr>
      <w:r>
        <w:t>Display of calculated tax.</w:t>
      </w:r>
    </w:p>
    <w:p>
      <w:pPr>
        <w:pStyle w:val="ListBullet"/>
      </w:pPr>
      <w:r>
        <w:t>Online payment.</w:t>
      </w:r>
    </w:p>
    <w:p>
      <w:pPr>
        <w:pStyle w:val="ListBullet"/>
      </w:pPr>
      <w:r>
        <w:t>Payment confirmation.</w:t>
      </w:r>
    </w:p>
    <w:p>
      <w:pPr>
        <w:pStyle w:val="ListBullet"/>
      </w:pPr>
      <w:r>
        <w:t>Payment record.</w:t>
      </w:r>
    </w:p>
    <w:p>
      <w:pPr>
        <w:pStyle w:val="ListBullet"/>
      </w:pPr>
      <w:r>
        <w:t>Receipt generation.</w:t>
      </w:r>
    </w:p>
    <w:p>
      <w:pPr>
        <w:pStyle w:val="Heading2"/>
      </w:pPr>
      <w:r>
        <w:t>5.2 Out-of-Scope for Release 1</w:t>
      </w:r>
    </w:p>
    <w:p>
      <w:r>
        <w:t>The full legal objection workflow is kept outside Release 1. The case study states that objections involve legal procedures that require additional time. The estimation also shows that including objections would consume the complete 16-week period.</w:t>
      </w:r>
    </w:p>
    <w:p>
      <w:pPr>
        <w:pStyle w:val="Heading1"/>
      </w:pPr>
      <w:r>
        <w:t>6. Project Constraints</w:t>
      </w:r>
    </w:p>
    <w:p>
      <w:pPr>
        <w:pStyle w:val="ListBullet"/>
      </w:pPr>
      <w:r>
        <w:t>The city has approximately 9 lakh people.</w:t>
      </w:r>
    </w:p>
    <w:p>
      <w:pPr>
        <w:pStyle w:val="ListBullet"/>
      </w:pPr>
      <w:r>
        <w:t>The system needs to support property-tax collection for approximately 1.8 lakh properties.</w:t>
      </w:r>
    </w:p>
    <w:p>
      <w:pPr>
        <w:pStyle w:val="ListBullet"/>
      </w:pPr>
      <w:r>
        <w:t>The given backlog figures must be used for estimation.</w:t>
      </w:r>
    </w:p>
    <w:p>
      <w:pPr>
        <w:pStyle w:val="ListBullet"/>
      </w:pPr>
      <w:r>
        <w:t>The available velocity is 11 points per 2-week sprint.</w:t>
      </w:r>
    </w:p>
    <w:p>
      <w:pPr>
        <w:pStyle w:val="ListBullet"/>
      </w:pPr>
      <w:r>
        <w:t>The tax year starts in 16 weeks.</w:t>
      </w:r>
    </w:p>
    <w:p>
      <w:pPr>
        <w:pStyle w:val="ListBullet"/>
      </w:pPr>
      <w:r>
        <w:t>The online payment target is 35% of payments in Year 1.</w:t>
      </w:r>
    </w:p>
    <w:p>
      <w:pPr>
        <w:pStyle w:val="ListBullet"/>
      </w:pPr>
      <w:r>
        <w:t>The objection workflow involves legal procedures.</w:t>
      </w:r>
    </w:p>
    <w:p>
      <w:pPr>
        <w:pStyle w:val="ListBullet"/>
      </w:pPr>
      <w:r>
        <w:t>The project estimation must use the provided figures and must not invent alternative figures.</w:t>
      </w:r>
    </w:p>
    <w:p>
      <w:pPr>
        <w:pStyle w:val="Heading1"/>
      </w:pPr>
      <w:r>
        <w:t>7. Functional Requirements</w:t>
      </w:r>
    </w:p>
    <w:p>
      <w:r>
        <w:t>The case study requires 10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Functional Requirement</w:t>
            </w:r>
          </w:p>
        </w:tc>
        <w:tc>
          <w:tcPr>
            <w:tcW w:type="dxa" w:w="3312"/>
            <w:vAlign w:val="center"/>
            <w:shd w:fill="D9EAF7"/>
          </w:tcPr>
          <w:p>
            <w:r/>
            <w:r>
              <w:rPr>
                <w:b/>
                <w:sz w:val="18"/>
              </w:rPr>
              <w:t>Priority</w:t>
            </w:r>
          </w:p>
        </w:tc>
      </w:tr>
      <w:tr>
        <w:tc>
          <w:tcPr>
            <w:tcW w:type="dxa" w:w="3312"/>
            <w:vAlign w:val="center"/>
          </w:tcPr>
          <w:p>
            <w:r/>
            <w:r>
              <w:rPr>
                <w:b w:val="0"/>
                <w:sz w:val="18"/>
              </w:rPr>
              <w:t>FR-01</w:t>
            </w:r>
          </w:p>
        </w:tc>
        <w:tc>
          <w:tcPr>
            <w:tcW w:type="dxa" w:w="3312"/>
            <w:vAlign w:val="center"/>
          </w:tcPr>
          <w:p>
            <w:r/>
            <w:r>
              <w:rPr>
                <w:b w:val="0"/>
                <w:sz w:val="18"/>
              </w:rPr>
              <w:t>The system shall allow property owners to search for their property.</w:t>
            </w:r>
          </w:p>
        </w:tc>
        <w:tc>
          <w:tcPr>
            <w:tcW w:type="dxa" w:w="3312"/>
            <w:vAlign w:val="center"/>
          </w:tcPr>
          <w:p>
            <w:r/>
            <w:r>
              <w:rPr>
                <w:b w:val="0"/>
                <w:sz w:val="18"/>
              </w:rPr>
              <w:t>Must Have</w:t>
            </w:r>
          </w:p>
        </w:tc>
      </w:tr>
      <w:tr>
        <w:tc>
          <w:tcPr>
            <w:tcW w:type="dxa" w:w="3312"/>
            <w:vAlign w:val="center"/>
          </w:tcPr>
          <w:p>
            <w:r/>
            <w:r>
              <w:rPr>
                <w:b w:val="0"/>
                <w:sz w:val="18"/>
              </w:rPr>
              <w:t>FR-02</w:t>
            </w:r>
          </w:p>
        </w:tc>
        <w:tc>
          <w:tcPr>
            <w:tcW w:type="dxa" w:w="3312"/>
            <w:vAlign w:val="center"/>
          </w:tcPr>
          <w:p>
            <w:r/>
            <w:r>
              <w:rPr>
                <w:b w:val="0"/>
                <w:sz w:val="18"/>
              </w:rPr>
              <w:t>The system shall display the property information required for self-assessment.</w:t>
            </w:r>
          </w:p>
        </w:tc>
        <w:tc>
          <w:tcPr>
            <w:tcW w:type="dxa" w:w="3312"/>
            <w:vAlign w:val="center"/>
          </w:tcPr>
          <w:p>
            <w:r/>
            <w:r>
              <w:rPr>
                <w:b w:val="0"/>
                <w:sz w:val="18"/>
              </w:rPr>
              <w:t>Must Have</w:t>
            </w:r>
          </w:p>
        </w:tc>
      </w:tr>
      <w:tr>
        <w:tc>
          <w:tcPr>
            <w:tcW w:type="dxa" w:w="3312"/>
            <w:vAlign w:val="center"/>
          </w:tcPr>
          <w:p>
            <w:r/>
            <w:r>
              <w:rPr>
                <w:b w:val="0"/>
                <w:sz w:val="18"/>
              </w:rPr>
              <w:t>FR-03</w:t>
            </w:r>
          </w:p>
        </w:tc>
        <w:tc>
          <w:tcPr>
            <w:tcW w:type="dxa" w:w="3312"/>
            <w:vAlign w:val="center"/>
          </w:tcPr>
          <w:p>
            <w:r/>
            <w:r>
              <w:rPr>
                <w:b w:val="0"/>
                <w:sz w:val="18"/>
              </w:rPr>
              <w:t>The system shall allow property owners to enter self-assessment details.</w:t>
            </w:r>
          </w:p>
        </w:tc>
        <w:tc>
          <w:tcPr>
            <w:tcW w:type="dxa" w:w="3312"/>
            <w:vAlign w:val="center"/>
          </w:tcPr>
          <w:p>
            <w:r/>
            <w:r>
              <w:rPr>
                <w:b w:val="0"/>
                <w:sz w:val="18"/>
              </w:rPr>
              <w:t>Must Have</w:t>
            </w:r>
          </w:p>
        </w:tc>
      </w:tr>
      <w:tr>
        <w:tc>
          <w:tcPr>
            <w:tcW w:type="dxa" w:w="3312"/>
            <w:vAlign w:val="center"/>
          </w:tcPr>
          <w:p>
            <w:r/>
            <w:r>
              <w:rPr>
                <w:b w:val="0"/>
                <w:sz w:val="18"/>
              </w:rPr>
              <w:t>FR-04</w:t>
            </w:r>
          </w:p>
        </w:tc>
        <w:tc>
          <w:tcPr>
            <w:tcW w:type="dxa" w:w="3312"/>
            <w:vAlign w:val="center"/>
          </w:tcPr>
          <w:p>
            <w:r/>
            <w:r>
              <w:rPr>
                <w:b w:val="0"/>
                <w:sz w:val="18"/>
              </w:rPr>
              <w:t>The system shall calculate property tax using the applicable rate-table rules.</w:t>
            </w:r>
          </w:p>
        </w:tc>
        <w:tc>
          <w:tcPr>
            <w:tcW w:type="dxa" w:w="3312"/>
            <w:vAlign w:val="center"/>
          </w:tcPr>
          <w:p>
            <w:r/>
            <w:r>
              <w:rPr>
                <w:b w:val="0"/>
                <w:sz w:val="18"/>
              </w:rPr>
              <w:t>Must Have</w:t>
            </w:r>
          </w:p>
        </w:tc>
      </w:tr>
      <w:tr>
        <w:tc>
          <w:tcPr>
            <w:tcW w:type="dxa" w:w="3312"/>
            <w:vAlign w:val="center"/>
          </w:tcPr>
          <w:p>
            <w:r/>
            <w:r>
              <w:rPr>
                <w:b w:val="0"/>
                <w:sz w:val="18"/>
              </w:rPr>
              <w:t>FR-05</w:t>
            </w:r>
          </w:p>
        </w:tc>
        <w:tc>
          <w:tcPr>
            <w:tcW w:type="dxa" w:w="3312"/>
            <w:vAlign w:val="center"/>
          </w:tcPr>
          <w:p>
            <w:r/>
            <w:r>
              <w:rPr>
                <w:b w:val="0"/>
                <w:sz w:val="18"/>
              </w:rPr>
              <w:t>The system shall apply applicable rebate rules during tax calculation.</w:t>
            </w:r>
          </w:p>
        </w:tc>
        <w:tc>
          <w:tcPr>
            <w:tcW w:type="dxa" w:w="3312"/>
            <w:vAlign w:val="center"/>
          </w:tcPr>
          <w:p>
            <w:r/>
            <w:r>
              <w:rPr>
                <w:b w:val="0"/>
                <w:sz w:val="18"/>
              </w:rPr>
              <w:t>Must Have</w:t>
            </w:r>
          </w:p>
        </w:tc>
      </w:tr>
      <w:tr>
        <w:tc>
          <w:tcPr>
            <w:tcW w:type="dxa" w:w="3312"/>
            <w:vAlign w:val="center"/>
          </w:tcPr>
          <w:p>
            <w:r/>
            <w:r>
              <w:rPr>
                <w:b w:val="0"/>
                <w:sz w:val="18"/>
              </w:rPr>
              <w:t>FR-06</w:t>
            </w:r>
          </w:p>
        </w:tc>
        <w:tc>
          <w:tcPr>
            <w:tcW w:type="dxa" w:w="3312"/>
            <w:vAlign w:val="center"/>
          </w:tcPr>
          <w:p>
            <w:r/>
            <w:r>
              <w:rPr>
                <w:b w:val="0"/>
                <w:sz w:val="18"/>
              </w:rPr>
              <w:t>The system shall display the calculated property tax before payment.</w:t>
            </w:r>
          </w:p>
        </w:tc>
        <w:tc>
          <w:tcPr>
            <w:tcW w:type="dxa" w:w="3312"/>
            <w:vAlign w:val="center"/>
          </w:tcPr>
          <w:p>
            <w:r/>
            <w:r>
              <w:rPr>
                <w:b w:val="0"/>
                <w:sz w:val="18"/>
              </w:rPr>
              <w:t>Must Have</w:t>
            </w:r>
          </w:p>
        </w:tc>
      </w:tr>
      <w:tr>
        <w:tc>
          <w:tcPr>
            <w:tcW w:type="dxa" w:w="3312"/>
            <w:vAlign w:val="center"/>
          </w:tcPr>
          <w:p>
            <w:r/>
            <w:r>
              <w:rPr>
                <w:b w:val="0"/>
                <w:sz w:val="18"/>
              </w:rPr>
              <w:t>FR-07</w:t>
            </w:r>
          </w:p>
        </w:tc>
        <w:tc>
          <w:tcPr>
            <w:tcW w:type="dxa" w:w="3312"/>
            <w:vAlign w:val="center"/>
          </w:tcPr>
          <w:p>
            <w:r/>
            <w:r>
              <w:rPr>
                <w:b w:val="0"/>
                <w:sz w:val="18"/>
              </w:rPr>
              <w:t>The system shall allow property owners to initiate online payment.</w:t>
            </w:r>
          </w:p>
        </w:tc>
        <w:tc>
          <w:tcPr>
            <w:tcW w:type="dxa" w:w="3312"/>
            <w:vAlign w:val="center"/>
          </w:tcPr>
          <w:p>
            <w:r/>
            <w:r>
              <w:rPr>
                <w:b w:val="0"/>
                <w:sz w:val="18"/>
              </w:rPr>
              <w:t>Must Have</w:t>
            </w:r>
          </w:p>
        </w:tc>
      </w:tr>
      <w:tr>
        <w:tc>
          <w:tcPr>
            <w:tcW w:type="dxa" w:w="3312"/>
            <w:vAlign w:val="center"/>
          </w:tcPr>
          <w:p>
            <w:r/>
            <w:r>
              <w:rPr>
                <w:b w:val="0"/>
                <w:sz w:val="18"/>
              </w:rPr>
              <w:t>FR-08</w:t>
            </w:r>
          </w:p>
        </w:tc>
        <w:tc>
          <w:tcPr>
            <w:tcW w:type="dxa" w:w="3312"/>
            <w:vAlign w:val="center"/>
          </w:tcPr>
          <w:p>
            <w:r/>
            <w:r>
              <w:rPr>
                <w:b w:val="0"/>
                <w:sz w:val="18"/>
              </w:rPr>
              <w:t>The system shall record successful payment information.</w:t>
            </w:r>
          </w:p>
        </w:tc>
        <w:tc>
          <w:tcPr>
            <w:tcW w:type="dxa" w:w="3312"/>
            <w:vAlign w:val="center"/>
          </w:tcPr>
          <w:p>
            <w:r/>
            <w:r>
              <w:rPr>
                <w:b w:val="0"/>
                <w:sz w:val="18"/>
              </w:rPr>
              <w:t>Must Have</w:t>
            </w:r>
          </w:p>
        </w:tc>
      </w:tr>
      <w:tr>
        <w:tc>
          <w:tcPr>
            <w:tcW w:type="dxa" w:w="3312"/>
            <w:vAlign w:val="center"/>
          </w:tcPr>
          <w:p>
            <w:r/>
            <w:r>
              <w:rPr>
                <w:b w:val="0"/>
                <w:sz w:val="18"/>
              </w:rPr>
              <w:t>FR-09</w:t>
            </w:r>
          </w:p>
        </w:tc>
        <w:tc>
          <w:tcPr>
            <w:tcW w:type="dxa" w:w="3312"/>
            <w:vAlign w:val="center"/>
          </w:tcPr>
          <w:p>
            <w:r/>
            <w:r>
              <w:rPr>
                <w:b w:val="0"/>
                <w:sz w:val="18"/>
              </w:rPr>
              <w:t>The system shall generate a payment receipt after successful payment.</w:t>
            </w:r>
          </w:p>
        </w:tc>
        <w:tc>
          <w:tcPr>
            <w:tcW w:type="dxa" w:w="3312"/>
            <w:vAlign w:val="center"/>
          </w:tcPr>
          <w:p>
            <w:r/>
            <w:r>
              <w:rPr>
                <w:b w:val="0"/>
                <w:sz w:val="18"/>
              </w:rPr>
              <w:t>Must Have</w:t>
            </w:r>
          </w:p>
        </w:tc>
      </w:tr>
      <w:tr>
        <w:tc>
          <w:tcPr>
            <w:tcW w:type="dxa" w:w="3312"/>
            <w:vAlign w:val="center"/>
          </w:tcPr>
          <w:p>
            <w:r/>
            <w:r>
              <w:rPr>
                <w:b w:val="0"/>
                <w:sz w:val="18"/>
              </w:rPr>
              <w:t>FR-10</w:t>
            </w:r>
          </w:p>
        </w:tc>
        <w:tc>
          <w:tcPr>
            <w:tcW w:type="dxa" w:w="3312"/>
            <w:vAlign w:val="center"/>
          </w:tcPr>
          <w:p>
            <w:r/>
            <w:r>
              <w:rPr>
                <w:b w:val="0"/>
                <w:sz w:val="18"/>
              </w:rPr>
              <w:t>The system shall support the objection workflow when the functionality is included in the applicable release.</w:t>
            </w:r>
          </w:p>
        </w:tc>
        <w:tc>
          <w:tcPr>
            <w:tcW w:type="dxa" w:w="3312"/>
            <w:vAlign w:val="center"/>
          </w:tcPr>
          <w:p>
            <w:r/>
            <w:r>
              <w:rPr>
                <w:b w:val="0"/>
                <w:sz w:val="18"/>
              </w:rPr>
              <w:t>Won't Have in Release 1</w:t>
            </w:r>
          </w:p>
        </w:tc>
      </w:tr>
    </w:tbl>
    <w:p/>
    <w:p>
      <w:pPr>
        <w:pStyle w:val="Heading1"/>
      </w:pPr>
      <w:r>
        <w:t>8. Non-Functional Requirements</w:t>
      </w:r>
    </w:p>
    <w:p>
      <w:r>
        <w:t>The case study requires 7 measurable non-functional requirements and specifically emphasizes calculation accuracy, availability and security. The numerical targets below are proposed specification targets because the case study requires every NFR to have a measurable target; these numerical targets are not explicitly supplied in the case-study text.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NFR</w:t>
            </w:r>
          </w:p>
        </w:tc>
        <w:tc>
          <w:tcPr>
            <w:tcW w:type="dxa" w:w="3312"/>
            <w:vAlign w:val="center"/>
            <w:shd w:fill="D9EAF7"/>
          </w:tcPr>
          <w:p>
            <w:r/>
            <w:r>
              <w:rPr>
                <w:b/>
                <w:sz w:val="18"/>
              </w:rPr>
              <w:t>Measurable Target</w:t>
            </w:r>
          </w:p>
        </w:tc>
      </w:tr>
      <w:tr>
        <w:tc>
          <w:tcPr>
            <w:tcW w:type="dxa" w:w="3312"/>
            <w:vAlign w:val="center"/>
          </w:tcPr>
          <w:p>
            <w:r/>
            <w:r>
              <w:rPr>
                <w:b w:val="0"/>
                <w:sz w:val="18"/>
              </w:rPr>
              <w:t>NFR-01</w:t>
            </w:r>
          </w:p>
        </w:tc>
        <w:tc>
          <w:tcPr>
            <w:tcW w:type="dxa" w:w="3312"/>
            <w:vAlign w:val="center"/>
          </w:tcPr>
          <w:p>
            <w:r/>
            <w:r>
              <w:rPr>
                <w:b w:val="0"/>
                <w:sz w:val="18"/>
              </w:rPr>
              <w:t>Calculation Accuracy</w:t>
            </w:r>
          </w:p>
        </w:tc>
        <w:tc>
          <w:tcPr>
            <w:tcW w:type="dxa" w:w="3312"/>
            <w:vAlign w:val="center"/>
          </w:tcPr>
          <w:p>
            <w:r/>
            <w:r>
              <w:rPr>
                <w:b w:val="0"/>
                <w:sz w:val="18"/>
              </w:rPr>
              <w:t>Tax calculations shall match approved rate-table and rebate rules with 100% accuracy for validated test cases.</w:t>
            </w:r>
          </w:p>
        </w:tc>
      </w:tr>
      <w:tr>
        <w:tc>
          <w:tcPr>
            <w:tcW w:type="dxa" w:w="3312"/>
            <w:vAlign w:val="center"/>
          </w:tcPr>
          <w:p>
            <w:r/>
            <w:r>
              <w:rPr>
                <w:b w:val="0"/>
                <w:sz w:val="18"/>
              </w:rPr>
              <w:t>NFR-02</w:t>
            </w:r>
          </w:p>
        </w:tc>
        <w:tc>
          <w:tcPr>
            <w:tcW w:type="dxa" w:w="3312"/>
            <w:vAlign w:val="center"/>
          </w:tcPr>
          <w:p>
            <w:r/>
            <w:r>
              <w:rPr>
                <w:b w:val="0"/>
                <w:sz w:val="18"/>
              </w:rPr>
              <w:t>Availability</w:t>
            </w:r>
          </w:p>
        </w:tc>
        <w:tc>
          <w:tcPr>
            <w:tcW w:type="dxa" w:w="3312"/>
            <w:vAlign w:val="center"/>
          </w:tcPr>
          <w:p>
            <w:r/>
            <w:r>
              <w:rPr>
                <w:b w:val="0"/>
                <w:sz w:val="18"/>
              </w:rPr>
              <w:t>The portal shall maintain at least 99.5% availability during the defined service period.</w:t>
            </w:r>
          </w:p>
        </w:tc>
      </w:tr>
      <w:tr>
        <w:tc>
          <w:tcPr>
            <w:tcW w:type="dxa" w:w="3312"/>
            <w:vAlign w:val="center"/>
          </w:tcPr>
          <w:p>
            <w:r/>
            <w:r>
              <w:rPr>
                <w:b w:val="0"/>
                <w:sz w:val="18"/>
              </w:rPr>
              <w:t>NFR-03</w:t>
            </w:r>
          </w:p>
        </w:tc>
        <w:tc>
          <w:tcPr>
            <w:tcW w:type="dxa" w:w="3312"/>
            <w:vAlign w:val="center"/>
          </w:tcPr>
          <w:p>
            <w:r/>
            <w:r>
              <w:rPr>
                <w:b w:val="0"/>
                <w:sz w:val="18"/>
              </w:rPr>
              <w:t>Security</w:t>
            </w:r>
          </w:p>
        </w:tc>
        <w:tc>
          <w:tcPr>
            <w:tcW w:type="dxa" w:w="3312"/>
            <w:vAlign w:val="center"/>
          </w:tcPr>
          <w:p>
            <w:r/>
            <w:r>
              <w:rPr>
                <w:b w:val="0"/>
                <w:sz w:val="18"/>
              </w:rPr>
              <w:t>100% of authenticated sessions shall use secure authentication and encrypted communication.</w:t>
            </w:r>
          </w:p>
        </w:tc>
      </w:tr>
      <w:tr>
        <w:tc>
          <w:tcPr>
            <w:tcW w:type="dxa" w:w="3312"/>
            <w:vAlign w:val="center"/>
          </w:tcPr>
          <w:p>
            <w:r/>
            <w:r>
              <w:rPr>
                <w:b w:val="0"/>
                <w:sz w:val="18"/>
              </w:rPr>
              <w:t>NFR-04</w:t>
            </w:r>
          </w:p>
        </w:tc>
        <w:tc>
          <w:tcPr>
            <w:tcW w:type="dxa" w:w="3312"/>
            <w:vAlign w:val="center"/>
          </w:tcPr>
          <w:p>
            <w:r/>
            <w:r>
              <w:rPr>
                <w:b w:val="0"/>
                <w:sz w:val="18"/>
              </w:rPr>
              <w:t>Response Time</w:t>
            </w:r>
          </w:p>
        </w:tc>
        <w:tc>
          <w:tcPr>
            <w:tcW w:type="dxa" w:w="3312"/>
            <w:vAlign w:val="center"/>
          </w:tcPr>
          <w:p>
            <w:r/>
            <w:r>
              <w:rPr>
                <w:b w:val="0"/>
                <w:sz w:val="18"/>
              </w:rPr>
              <w:t>Property search and tax-calculation requests shall return results within 3 seconds under the defined test load.</w:t>
            </w:r>
          </w:p>
        </w:tc>
      </w:tr>
      <w:tr>
        <w:tc>
          <w:tcPr>
            <w:tcW w:type="dxa" w:w="3312"/>
            <w:vAlign w:val="center"/>
          </w:tcPr>
          <w:p>
            <w:r/>
            <w:r>
              <w:rPr>
                <w:b w:val="0"/>
                <w:sz w:val="18"/>
              </w:rPr>
              <w:t>NFR-05</w:t>
            </w:r>
          </w:p>
        </w:tc>
        <w:tc>
          <w:tcPr>
            <w:tcW w:type="dxa" w:w="3312"/>
            <w:vAlign w:val="center"/>
          </w:tcPr>
          <w:p>
            <w:r/>
            <w:r>
              <w:rPr>
                <w:b w:val="0"/>
                <w:sz w:val="18"/>
              </w:rPr>
              <w:t>Payment Reliability</w:t>
            </w:r>
          </w:p>
        </w:tc>
        <w:tc>
          <w:tcPr>
            <w:tcW w:type="dxa" w:w="3312"/>
            <w:vAlign w:val="center"/>
          </w:tcPr>
          <w:p>
            <w:r/>
            <w:r>
              <w:rPr>
                <w:b w:val="0"/>
                <w:sz w:val="18"/>
              </w:rPr>
              <w:t>100% of successfully confirmed payments shall have a corresponding payment record and receipt.</w:t>
            </w:r>
          </w:p>
        </w:tc>
      </w:tr>
      <w:tr>
        <w:tc>
          <w:tcPr>
            <w:tcW w:type="dxa" w:w="3312"/>
            <w:vAlign w:val="center"/>
          </w:tcPr>
          <w:p>
            <w:r/>
            <w:r>
              <w:rPr>
                <w:b w:val="0"/>
                <w:sz w:val="18"/>
              </w:rPr>
              <w:t>NFR-06</w:t>
            </w:r>
          </w:p>
        </w:tc>
        <w:tc>
          <w:tcPr>
            <w:tcW w:type="dxa" w:w="3312"/>
            <w:vAlign w:val="center"/>
          </w:tcPr>
          <w:p>
            <w:r/>
            <w:r>
              <w:rPr>
                <w:b w:val="0"/>
                <w:sz w:val="18"/>
              </w:rPr>
              <w:t>Data Integrity</w:t>
            </w:r>
          </w:p>
        </w:tc>
        <w:tc>
          <w:tcPr>
            <w:tcW w:type="dxa" w:w="3312"/>
            <w:vAlign w:val="center"/>
          </w:tcPr>
          <w:p>
            <w:r/>
            <w:r>
              <w:rPr>
                <w:b w:val="0"/>
                <w:sz w:val="18"/>
              </w:rPr>
              <w:t>100% of successful transactions shall maintain consistent assessment and payment records.</w:t>
            </w:r>
          </w:p>
        </w:tc>
      </w:tr>
      <w:tr>
        <w:tc>
          <w:tcPr>
            <w:tcW w:type="dxa" w:w="3312"/>
            <w:vAlign w:val="center"/>
          </w:tcPr>
          <w:p>
            <w:r/>
            <w:r>
              <w:rPr>
                <w:b w:val="0"/>
                <w:sz w:val="18"/>
              </w:rPr>
              <w:t>NFR-07</w:t>
            </w:r>
          </w:p>
        </w:tc>
        <w:tc>
          <w:tcPr>
            <w:tcW w:type="dxa" w:w="3312"/>
            <w:vAlign w:val="center"/>
          </w:tcPr>
          <w:p>
            <w:r/>
            <w:r>
              <w:rPr>
                <w:b w:val="0"/>
                <w:sz w:val="18"/>
              </w:rPr>
              <w:t>Auditability</w:t>
            </w:r>
          </w:p>
        </w:tc>
        <w:tc>
          <w:tcPr>
            <w:tcW w:type="dxa" w:w="3312"/>
            <w:vAlign w:val="center"/>
          </w:tcPr>
          <w:p>
            <w:r/>
            <w:r>
              <w:rPr>
                <w:b w:val="0"/>
                <w:sz w:val="18"/>
              </w:rPr>
              <w:t>100% of assessment and payment transactions shall have an auditable transaction record.</w:t>
            </w:r>
          </w:p>
        </w:tc>
      </w:tr>
    </w:tbl>
    <w:p/>
    <w:p>
      <w:pPr>
        <w:pStyle w:val="Heading1"/>
      </w:pPr>
      <w:r>
        <w:t>9. MoSCoW Prioritization</w:t>
      </w:r>
    </w:p>
    <w:p>
      <w:pPr>
        <w:pStyle w:val="Heading2"/>
      </w:pPr>
      <w:r>
        <w:t>9.1 Must Have</w:t>
      </w:r>
    </w:p>
    <w:p>
      <w:pPr>
        <w:pStyle w:val="ListBullet"/>
      </w:pPr>
      <w:r>
        <w:t>Property Search</w:t>
      </w:r>
    </w:p>
    <w:p>
      <w:pPr>
        <w:pStyle w:val="ListBullet"/>
      </w:pPr>
      <w:r>
        <w:t>Property Information</w:t>
      </w:r>
    </w:p>
    <w:p>
      <w:pPr>
        <w:pStyle w:val="ListBullet"/>
      </w:pPr>
      <w:r>
        <w:t>Self-Assessment</w:t>
      </w:r>
    </w:p>
    <w:p>
      <w:pPr>
        <w:pStyle w:val="ListBullet"/>
      </w:pPr>
      <w:r>
        <w:t>Tax Calculation</w:t>
      </w:r>
    </w:p>
    <w:p>
      <w:pPr>
        <w:pStyle w:val="ListBullet"/>
      </w:pPr>
      <w:r>
        <w:t>Rate-Table Application</w:t>
      </w:r>
    </w:p>
    <w:p>
      <w:pPr>
        <w:pStyle w:val="ListBullet"/>
      </w:pPr>
      <w:r>
        <w:t>Rebate Calculation</w:t>
      </w:r>
    </w:p>
    <w:p>
      <w:pPr>
        <w:pStyle w:val="ListBullet"/>
      </w:pPr>
      <w:r>
        <w:t>Tax Amount Display</w:t>
      </w:r>
    </w:p>
    <w:p>
      <w:pPr>
        <w:pStyle w:val="ListBullet"/>
      </w:pPr>
      <w:r>
        <w:t>Online Payment</w:t>
      </w:r>
    </w:p>
    <w:p>
      <w:pPr>
        <w:pStyle w:val="ListBullet"/>
      </w:pPr>
      <w:r>
        <w:t>Payment Recording</w:t>
      </w:r>
    </w:p>
    <w:p>
      <w:pPr>
        <w:pStyle w:val="ListBullet"/>
      </w:pPr>
      <w:r>
        <w:t>Receipt Generation</w:t>
      </w:r>
    </w:p>
    <w:p>
      <w:pPr>
        <w:pStyle w:val="Heading2"/>
      </w:pPr>
      <w:r>
        <w:t>9.2 Should Have</w:t>
      </w:r>
    </w:p>
    <w:p>
      <w:pPr>
        <w:pStyle w:val="ListBullet"/>
      </w:pPr>
      <w:r>
        <w:t>Detailed assessment history</w:t>
      </w:r>
    </w:p>
    <w:p>
      <w:pPr>
        <w:pStyle w:val="ListBullet"/>
      </w:pPr>
      <w:r>
        <w:t>Detailed payment/status information</w:t>
      </w:r>
    </w:p>
    <w:p>
      <w:pPr>
        <w:pStyle w:val="Heading2"/>
      </w:pPr>
      <w:r>
        <w:t>9.3 Could Have</w:t>
      </w:r>
    </w:p>
    <w:p>
      <w:pPr>
        <w:pStyle w:val="ListBullet"/>
      </w:pPr>
      <w:r>
        <w:t>Additional convenience features around the core workflow</w:t>
      </w:r>
    </w:p>
    <w:p>
      <w:pPr>
        <w:pStyle w:val="Heading2"/>
      </w:pPr>
      <w:r>
        <w:t>9.4 Won't Have – Release 1</w:t>
      </w:r>
    </w:p>
    <w:p>
      <w:r>
        <w:t>Full legal objection workflow. The reason is that it adds 29 story points, involves legal procedures and consumes the complete 16-week delivery window.</w:t>
      </w:r>
    </w:p>
    <w:p>
      <w:pPr>
        <w:pStyle w:val="Heading1"/>
      </w:pPr>
      <w:r>
        <w:t>10. Assumptions</w:t>
      </w:r>
    </w:p>
    <w:p>
      <w:r>
        <w:t>The following are project assumptions used to make the requirements testable and complete. They are not numerical facts supplied by the case study.</w:t>
      </w:r>
    </w:p>
    <w:p>
      <w:pPr>
        <w:pStyle w:val="ListBullet"/>
      </w:pPr>
      <w:r>
        <w:t>Property owners will provide valid property information during self-assessment.</w:t>
      </w:r>
    </w:p>
    <w:p>
      <w:pPr>
        <w:pStyle w:val="ListBullet"/>
      </w:pPr>
      <w:r>
        <w:t>The approved rate-table and rebate rules will be available to the system.</w:t>
      </w:r>
    </w:p>
    <w:p>
      <w:pPr>
        <w:pStyle w:val="ListBullet"/>
      </w:pPr>
      <w:r>
        <w:t>Payment confirmation will be available to the portal after a payment attempt.</w:t>
      </w:r>
    </w:p>
    <w:p>
      <w:pPr>
        <w:pStyle w:val="ListBullet"/>
      </w:pPr>
      <w:r>
        <w:t>Users will have internet access while using the online portal.</w:t>
      </w:r>
    </w:p>
    <w:p>
      <w:pPr>
        <w:pStyle w:val="ListBullet"/>
      </w:pPr>
      <w:r>
        <w:t>The corporation will provide the required property and tax information.</w:t>
      </w:r>
    </w:p>
    <w:p>
      <w:pPr>
        <w:pStyle w:val="ListBullet"/>
      </w:pPr>
      <w:r>
        <w:t>Legal rules required for a future objection workflow will be provided separately.</w:t>
      </w:r>
    </w:p>
    <w:p>
      <w:pPr>
        <w:pStyle w:val="Heading1"/>
      </w:pPr>
      <w:r>
        <w:t>11. Requirement Traceability Matrix</w:t>
      </w:r>
    </w:p>
    <w:p>
      <w:r>
        <w:t>The case study requires a traceability matrix linking every functional requirement to a test case. The detailed test steps, expected results and execution evidence will be documented in the Test Plan &amp; Evidence deliverable.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Requirement</w:t>
            </w:r>
          </w:p>
        </w:tc>
        <w:tc>
          <w:tcPr>
            <w:tcW w:type="dxa" w:w="3312"/>
            <w:vAlign w:val="center"/>
            <w:shd w:fill="D9EAF7"/>
          </w:tcPr>
          <w:p>
            <w:r/>
            <w:r>
              <w:rPr>
                <w:b/>
                <w:sz w:val="18"/>
              </w:rPr>
              <w:t>Requirement Area</w:t>
            </w:r>
          </w:p>
        </w:tc>
        <w:tc>
          <w:tcPr>
            <w:tcW w:type="dxa" w:w="3312"/>
            <w:vAlign w:val="center"/>
            <w:shd w:fill="D9EAF7"/>
          </w:tcPr>
          <w:p>
            <w:r/>
            <w:r>
              <w:rPr>
                <w:b/>
                <w:sz w:val="18"/>
              </w:rPr>
              <w:t>Planned Test Case</w:t>
            </w:r>
          </w:p>
        </w:tc>
      </w:tr>
      <w:tr>
        <w:tc>
          <w:tcPr>
            <w:tcW w:type="dxa" w:w="3312"/>
            <w:vAlign w:val="center"/>
          </w:tcPr>
          <w:p>
            <w:r/>
            <w:r>
              <w:rPr>
                <w:b w:val="0"/>
                <w:sz w:val="18"/>
              </w:rPr>
              <w:t>FR-01</w:t>
            </w:r>
          </w:p>
        </w:tc>
        <w:tc>
          <w:tcPr>
            <w:tcW w:type="dxa" w:w="3312"/>
            <w:vAlign w:val="center"/>
          </w:tcPr>
          <w:p>
            <w:r/>
            <w:r>
              <w:rPr>
                <w:b w:val="0"/>
                <w:sz w:val="18"/>
              </w:rPr>
              <w:t>Property Search</w:t>
            </w:r>
          </w:p>
        </w:tc>
        <w:tc>
          <w:tcPr>
            <w:tcW w:type="dxa" w:w="3312"/>
            <w:vAlign w:val="center"/>
          </w:tcPr>
          <w:p>
            <w:r/>
            <w:r>
              <w:rPr>
                <w:b w:val="0"/>
                <w:sz w:val="18"/>
              </w:rPr>
              <w:t>TC-01</w:t>
            </w:r>
          </w:p>
        </w:tc>
      </w:tr>
      <w:tr>
        <w:tc>
          <w:tcPr>
            <w:tcW w:type="dxa" w:w="3312"/>
            <w:vAlign w:val="center"/>
          </w:tcPr>
          <w:p>
            <w:r/>
            <w:r>
              <w:rPr>
                <w:b w:val="0"/>
                <w:sz w:val="18"/>
              </w:rPr>
              <w:t>FR-02</w:t>
            </w:r>
          </w:p>
        </w:tc>
        <w:tc>
          <w:tcPr>
            <w:tcW w:type="dxa" w:w="3312"/>
            <w:vAlign w:val="center"/>
          </w:tcPr>
          <w:p>
            <w:r/>
            <w:r>
              <w:rPr>
                <w:b w:val="0"/>
                <w:sz w:val="18"/>
              </w:rPr>
              <w:t>Display Property Information</w:t>
            </w:r>
          </w:p>
        </w:tc>
        <w:tc>
          <w:tcPr>
            <w:tcW w:type="dxa" w:w="3312"/>
            <w:vAlign w:val="center"/>
          </w:tcPr>
          <w:p>
            <w:r/>
            <w:r>
              <w:rPr>
                <w:b w:val="0"/>
                <w:sz w:val="18"/>
              </w:rPr>
              <w:t>TC-02</w:t>
            </w:r>
          </w:p>
        </w:tc>
      </w:tr>
      <w:tr>
        <w:tc>
          <w:tcPr>
            <w:tcW w:type="dxa" w:w="3312"/>
            <w:vAlign w:val="center"/>
          </w:tcPr>
          <w:p>
            <w:r/>
            <w:r>
              <w:rPr>
                <w:b w:val="0"/>
                <w:sz w:val="18"/>
              </w:rPr>
              <w:t>FR-03</w:t>
            </w:r>
          </w:p>
        </w:tc>
        <w:tc>
          <w:tcPr>
            <w:tcW w:type="dxa" w:w="3312"/>
            <w:vAlign w:val="center"/>
          </w:tcPr>
          <w:p>
            <w:r/>
            <w:r>
              <w:rPr>
                <w:b w:val="0"/>
                <w:sz w:val="18"/>
              </w:rPr>
              <w:t>Self-Assessment</w:t>
            </w:r>
          </w:p>
        </w:tc>
        <w:tc>
          <w:tcPr>
            <w:tcW w:type="dxa" w:w="3312"/>
            <w:vAlign w:val="center"/>
          </w:tcPr>
          <w:p>
            <w:r/>
            <w:r>
              <w:rPr>
                <w:b w:val="0"/>
                <w:sz w:val="18"/>
              </w:rPr>
              <w:t>TC-03</w:t>
            </w:r>
          </w:p>
        </w:tc>
      </w:tr>
      <w:tr>
        <w:tc>
          <w:tcPr>
            <w:tcW w:type="dxa" w:w="3312"/>
            <w:vAlign w:val="center"/>
          </w:tcPr>
          <w:p>
            <w:r/>
            <w:r>
              <w:rPr>
                <w:b w:val="0"/>
                <w:sz w:val="18"/>
              </w:rPr>
              <w:t>FR-04</w:t>
            </w:r>
          </w:p>
        </w:tc>
        <w:tc>
          <w:tcPr>
            <w:tcW w:type="dxa" w:w="3312"/>
            <w:vAlign w:val="center"/>
          </w:tcPr>
          <w:p>
            <w:r/>
            <w:r>
              <w:rPr>
                <w:b w:val="0"/>
                <w:sz w:val="18"/>
              </w:rPr>
              <w:t>Tax Calculation</w:t>
            </w:r>
          </w:p>
        </w:tc>
        <w:tc>
          <w:tcPr>
            <w:tcW w:type="dxa" w:w="3312"/>
            <w:vAlign w:val="center"/>
          </w:tcPr>
          <w:p>
            <w:r/>
            <w:r>
              <w:rPr>
                <w:b w:val="0"/>
                <w:sz w:val="18"/>
              </w:rPr>
              <w:t>TC-04</w:t>
            </w:r>
          </w:p>
        </w:tc>
      </w:tr>
      <w:tr>
        <w:tc>
          <w:tcPr>
            <w:tcW w:type="dxa" w:w="3312"/>
            <w:vAlign w:val="center"/>
          </w:tcPr>
          <w:p>
            <w:r/>
            <w:r>
              <w:rPr>
                <w:b w:val="0"/>
                <w:sz w:val="18"/>
              </w:rPr>
              <w:t>FR-05</w:t>
            </w:r>
          </w:p>
        </w:tc>
        <w:tc>
          <w:tcPr>
            <w:tcW w:type="dxa" w:w="3312"/>
            <w:vAlign w:val="center"/>
          </w:tcPr>
          <w:p>
            <w:r/>
            <w:r>
              <w:rPr>
                <w:b w:val="0"/>
                <w:sz w:val="18"/>
              </w:rPr>
              <w:t>Rebate Application</w:t>
            </w:r>
          </w:p>
        </w:tc>
        <w:tc>
          <w:tcPr>
            <w:tcW w:type="dxa" w:w="3312"/>
            <w:vAlign w:val="center"/>
          </w:tcPr>
          <w:p>
            <w:r/>
            <w:r>
              <w:rPr>
                <w:b w:val="0"/>
                <w:sz w:val="18"/>
              </w:rPr>
              <w:t>TC-05</w:t>
            </w:r>
          </w:p>
        </w:tc>
      </w:tr>
      <w:tr>
        <w:tc>
          <w:tcPr>
            <w:tcW w:type="dxa" w:w="3312"/>
            <w:vAlign w:val="center"/>
          </w:tcPr>
          <w:p>
            <w:r/>
            <w:r>
              <w:rPr>
                <w:b w:val="0"/>
                <w:sz w:val="18"/>
              </w:rPr>
              <w:t>FR-06</w:t>
            </w:r>
          </w:p>
        </w:tc>
        <w:tc>
          <w:tcPr>
            <w:tcW w:type="dxa" w:w="3312"/>
            <w:vAlign w:val="center"/>
          </w:tcPr>
          <w:p>
            <w:r/>
            <w:r>
              <w:rPr>
                <w:b w:val="0"/>
                <w:sz w:val="18"/>
              </w:rPr>
              <w:t>Display Calculated Tax</w:t>
            </w:r>
          </w:p>
        </w:tc>
        <w:tc>
          <w:tcPr>
            <w:tcW w:type="dxa" w:w="3312"/>
            <w:vAlign w:val="center"/>
          </w:tcPr>
          <w:p>
            <w:r/>
            <w:r>
              <w:rPr>
                <w:b w:val="0"/>
                <w:sz w:val="18"/>
              </w:rPr>
              <w:t>TC-06</w:t>
            </w:r>
          </w:p>
        </w:tc>
      </w:tr>
      <w:tr>
        <w:tc>
          <w:tcPr>
            <w:tcW w:type="dxa" w:w="3312"/>
            <w:vAlign w:val="center"/>
          </w:tcPr>
          <w:p>
            <w:r/>
            <w:r>
              <w:rPr>
                <w:b w:val="0"/>
                <w:sz w:val="18"/>
              </w:rPr>
              <w:t>FR-07</w:t>
            </w:r>
          </w:p>
        </w:tc>
        <w:tc>
          <w:tcPr>
            <w:tcW w:type="dxa" w:w="3312"/>
            <w:vAlign w:val="center"/>
          </w:tcPr>
          <w:p>
            <w:r/>
            <w:r>
              <w:rPr>
                <w:b w:val="0"/>
                <w:sz w:val="18"/>
              </w:rPr>
              <w:t>Online Payment</w:t>
            </w:r>
          </w:p>
        </w:tc>
        <w:tc>
          <w:tcPr>
            <w:tcW w:type="dxa" w:w="3312"/>
            <w:vAlign w:val="center"/>
          </w:tcPr>
          <w:p>
            <w:r/>
            <w:r>
              <w:rPr>
                <w:b w:val="0"/>
                <w:sz w:val="18"/>
              </w:rPr>
              <w:t>TC-07</w:t>
            </w:r>
          </w:p>
        </w:tc>
      </w:tr>
      <w:tr>
        <w:tc>
          <w:tcPr>
            <w:tcW w:type="dxa" w:w="3312"/>
            <w:vAlign w:val="center"/>
          </w:tcPr>
          <w:p>
            <w:r/>
            <w:r>
              <w:rPr>
                <w:b w:val="0"/>
                <w:sz w:val="18"/>
              </w:rPr>
              <w:t>FR-08</w:t>
            </w:r>
          </w:p>
        </w:tc>
        <w:tc>
          <w:tcPr>
            <w:tcW w:type="dxa" w:w="3312"/>
            <w:vAlign w:val="center"/>
          </w:tcPr>
          <w:p>
            <w:r/>
            <w:r>
              <w:rPr>
                <w:b w:val="0"/>
                <w:sz w:val="18"/>
              </w:rPr>
              <w:t>Payment Recording</w:t>
            </w:r>
          </w:p>
        </w:tc>
        <w:tc>
          <w:tcPr>
            <w:tcW w:type="dxa" w:w="3312"/>
            <w:vAlign w:val="center"/>
          </w:tcPr>
          <w:p>
            <w:r/>
            <w:r>
              <w:rPr>
                <w:b w:val="0"/>
                <w:sz w:val="18"/>
              </w:rPr>
              <w:t>TC-08</w:t>
            </w:r>
          </w:p>
        </w:tc>
      </w:tr>
      <w:tr>
        <w:tc>
          <w:tcPr>
            <w:tcW w:type="dxa" w:w="3312"/>
            <w:vAlign w:val="center"/>
          </w:tcPr>
          <w:p>
            <w:r/>
            <w:r>
              <w:rPr>
                <w:b w:val="0"/>
                <w:sz w:val="18"/>
              </w:rPr>
              <w:t>FR-09</w:t>
            </w:r>
          </w:p>
        </w:tc>
        <w:tc>
          <w:tcPr>
            <w:tcW w:type="dxa" w:w="3312"/>
            <w:vAlign w:val="center"/>
          </w:tcPr>
          <w:p>
            <w:r/>
            <w:r>
              <w:rPr>
                <w:b w:val="0"/>
                <w:sz w:val="18"/>
              </w:rPr>
              <w:t>Receipt Generation</w:t>
            </w:r>
          </w:p>
        </w:tc>
        <w:tc>
          <w:tcPr>
            <w:tcW w:type="dxa" w:w="3312"/>
            <w:vAlign w:val="center"/>
          </w:tcPr>
          <w:p>
            <w:r/>
            <w:r>
              <w:rPr>
                <w:b w:val="0"/>
                <w:sz w:val="18"/>
              </w:rPr>
              <w:t>TC-09</w:t>
            </w:r>
          </w:p>
        </w:tc>
      </w:tr>
      <w:tr>
        <w:tc>
          <w:tcPr>
            <w:tcW w:type="dxa" w:w="3312"/>
            <w:vAlign w:val="center"/>
          </w:tcPr>
          <w:p>
            <w:r/>
            <w:r>
              <w:rPr>
                <w:b w:val="0"/>
                <w:sz w:val="18"/>
              </w:rPr>
              <w:t>FR-10</w:t>
            </w:r>
          </w:p>
        </w:tc>
        <w:tc>
          <w:tcPr>
            <w:tcW w:type="dxa" w:w="3312"/>
            <w:vAlign w:val="center"/>
          </w:tcPr>
          <w:p>
            <w:r/>
            <w:r>
              <w:rPr>
                <w:b w:val="0"/>
                <w:sz w:val="18"/>
              </w:rPr>
              <w:t>Objection Workflow</w:t>
            </w:r>
          </w:p>
        </w:tc>
        <w:tc>
          <w:tcPr>
            <w:tcW w:type="dxa" w:w="3312"/>
            <w:vAlign w:val="center"/>
          </w:tcPr>
          <w:p>
            <w:r/>
            <w:r>
              <w:rPr>
                <w:b w:val="0"/>
                <w:sz w:val="18"/>
              </w:rPr>
              <w:t>TC-10</w:t>
            </w:r>
          </w:p>
        </w:tc>
      </w:tr>
    </w:tbl>
    <w:p/>
    <w:p>
      <w:pPr>
        <w:pStyle w:val="Heading1"/>
      </w:pPr>
      <w:r>
        <w:t>12. Release Scope Decision</w:t>
      </w:r>
    </w:p>
    <w:p>
      <w:r>
        <w:t>The first release will focus on the core online property-tax process:</w:t>
      </w:r>
    </w:p>
    <w:p>
      <w:pPr>
        <w:jc w:val="center"/>
      </w:pPr>
      <w:r>
        <w:rPr>
          <w:b/>
        </w:rPr>
        <w:t>Property Search → Self-Assessment → Tax Calculation → Rebate Application → Tax Amount → Online Payment → Payment Confirmation → Receipt</w:t>
      </w:r>
    </w:p>
    <w:p>
      <w:pPr>
        <w:pStyle w:val="Heading2"/>
      </w:pPr>
      <w:r>
        <w:t>12.1 Given Backlog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Backlog Area</w:t>
            </w:r>
          </w:p>
        </w:tc>
        <w:tc>
          <w:tcPr>
            <w:tcW w:type="dxa" w:w="4968"/>
            <w:vAlign w:val="center"/>
            <w:shd w:fill="D9EAF7"/>
          </w:tcPr>
          <w:p>
            <w:r/>
            <w:r>
              <w:rPr>
                <w:b/>
                <w:sz w:val="18"/>
              </w:rPr>
              <w:t>Story Points</w:t>
            </w:r>
          </w:p>
        </w:tc>
      </w:tr>
      <w:tr>
        <w:tc>
          <w:tcPr>
            <w:tcW w:type="dxa" w:w="4968"/>
            <w:vAlign w:val="center"/>
          </w:tcPr>
          <w:p>
            <w:r/>
            <w:r>
              <w:rPr>
                <w:b w:val="0"/>
                <w:sz w:val="18"/>
              </w:rPr>
              <w:t>Search &amp; Calculator</w:t>
            </w:r>
          </w:p>
        </w:tc>
        <w:tc>
          <w:tcPr>
            <w:tcW w:type="dxa" w:w="4968"/>
            <w:vAlign w:val="center"/>
          </w:tcPr>
          <w:p>
            <w:r/>
            <w:r>
              <w:rPr>
                <w:b w:val="0"/>
                <w:sz w:val="18"/>
              </w:rPr>
              <w:t>34</w:t>
            </w:r>
          </w:p>
        </w:tc>
      </w:tr>
      <w:tr>
        <w:tc>
          <w:tcPr>
            <w:tcW w:type="dxa" w:w="4968"/>
            <w:vAlign w:val="center"/>
          </w:tcPr>
          <w:p>
            <w:r/>
            <w:r>
              <w:rPr>
                <w:b w:val="0"/>
                <w:sz w:val="18"/>
              </w:rPr>
              <w:t>Payment &amp; Receipts</w:t>
            </w:r>
          </w:p>
        </w:tc>
        <w:tc>
          <w:tcPr>
            <w:tcW w:type="dxa" w:w="4968"/>
            <w:vAlign w:val="center"/>
          </w:tcPr>
          <w:p>
            <w:r/>
            <w:r>
              <w:rPr>
                <w:b w:val="0"/>
                <w:sz w:val="18"/>
              </w:rPr>
              <w:t>21</w:t>
            </w:r>
          </w:p>
        </w:tc>
      </w:tr>
      <w:tr>
        <w:tc>
          <w:tcPr>
            <w:tcW w:type="dxa" w:w="4968"/>
            <w:vAlign w:val="center"/>
          </w:tcPr>
          <w:p>
            <w:r/>
            <w:r>
              <w:rPr>
                <w:b w:val="0"/>
                <w:sz w:val="18"/>
              </w:rPr>
              <w:t>Objections Workflow</w:t>
            </w:r>
          </w:p>
        </w:tc>
        <w:tc>
          <w:tcPr>
            <w:tcW w:type="dxa" w:w="4968"/>
            <w:vAlign w:val="center"/>
          </w:tcPr>
          <w:p>
            <w:r/>
            <w:r>
              <w:rPr>
                <w:b w:val="0"/>
                <w:sz w:val="18"/>
              </w:rPr>
              <w:t>29</w:t>
            </w:r>
          </w:p>
        </w:tc>
      </w:tr>
      <w:tr>
        <w:tc>
          <w:tcPr>
            <w:tcW w:type="dxa" w:w="4968"/>
            <w:vAlign w:val="center"/>
          </w:tcPr>
          <w:p>
            <w:r/>
            <w:r>
              <w:rPr>
                <w:b w:val="0"/>
                <w:sz w:val="18"/>
              </w:rPr>
              <w:t>Velocity</w:t>
            </w:r>
          </w:p>
        </w:tc>
        <w:tc>
          <w:tcPr>
            <w:tcW w:type="dxa" w:w="4968"/>
            <w:vAlign w:val="center"/>
          </w:tcPr>
          <w:p>
            <w:r/>
            <w:r>
              <w:rPr>
                <w:b w:val="0"/>
                <w:sz w:val="18"/>
              </w:rPr>
              <w:t>11 points per 2-week sprint</w:t>
            </w:r>
          </w:p>
        </w:tc>
      </w:tr>
      <w:tr>
        <w:tc>
          <w:tcPr>
            <w:tcW w:type="dxa" w:w="4968"/>
            <w:vAlign w:val="center"/>
          </w:tcPr>
          <w:p>
            <w:r/>
            <w:r>
              <w:rPr>
                <w:b w:val="0"/>
                <w:sz w:val="18"/>
              </w:rPr>
              <w:t>Tax year starts</w:t>
            </w:r>
          </w:p>
        </w:tc>
        <w:tc>
          <w:tcPr>
            <w:tcW w:type="dxa" w:w="4968"/>
            <w:vAlign w:val="center"/>
          </w:tcPr>
          <w:p>
            <w:r/>
            <w:r>
              <w:rPr>
                <w:b w:val="0"/>
                <w:sz w:val="18"/>
              </w:rPr>
              <w:t>16 weeks</w:t>
            </w:r>
          </w:p>
        </w:tc>
      </w:tr>
      <w:tr>
        <w:tc>
          <w:tcPr>
            <w:tcW w:type="dxa" w:w="4968"/>
            <w:vAlign w:val="center"/>
          </w:tcPr>
          <w:p>
            <w:r/>
            <w:r>
              <w:rPr>
                <w:b w:val="0"/>
                <w:sz w:val="18"/>
              </w:rPr>
              <w:t>Online target</w:t>
            </w:r>
          </w:p>
        </w:tc>
        <w:tc>
          <w:tcPr>
            <w:tcW w:type="dxa" w:w="4968"/>
            <w:vAlign w:val="center"/>
          </w:tcPr>
          <w:p>
            <w:r/>
            <w:r>
              <w:rPr>
                <w:b w:val="0"/>
                <w:sz w:val="18"/>
              </w:rPr>
              <w:t>35% of payments online in Year 1</w:t>
            </w:r>
          </w:p>
        </w:tc>
      </w:tr>
    </w:tbl>
    <w:p/>
    <w:p>
      <w:pPr>
        <w:pStyle w:val="Heading2"/>
      </w:pPr>
      <w:r>
        <w:t>12.2 Forecast Without Objections</w:t>
      </w:r>
    </w:p>
    <w:p>
      <w:r>
        <w:t>Search &amp; Calculator + Payment &amp; Receipts:</w:t>
      </w:r>
    </w:p>
    <w:p>
      <w:r>
        <w:t>34 + 21 = 55 points</w:t>
      </w:r>
    </w:p>
    <w:p>
      <w:r>
        <w:t>55 ÷ 11 = 5 sprints</w:t>
      </w:r>
    </w:p>
    <w:p>
      <w:r>
        <w:t>5 × 2 weeks = 10 weeks</w:t>
      </w:r>
    </w:p>
    <w:p>
      <w:r>
        <w:t>Estimated duration without objections = 10 weeks.</w:t>
      </w:r>
    </w:p>
    <w:p>
      <w:pPr>
        <w:pStyle w:val="Heading2"/>
      </w:pPr>
      <w:r>
        <w:t>12.3 Forecast With Objections</w:t>
      </w:r>
    </w:p>
    <w:p>
      <w:r>
        <w:t>34 + 21 + 29 = 84 points</w:t>
      </w:r>
    </w:p>
    <w:p>
      <w:r>
        <w:t>84 ÷ 11 = 7.64 sprints</w:t>
      </w:r>
    </w:p>
    <w:p>
      <w:r>
        <w:t>A partial sprint is rounded up to a complete sprint: 8 sprints.</w:t>
      </w:r>
    </w:p>
    <w:p>
      <w:r>
        <w:t>8 × 2 weeks = 16 weeks</w:t>
      </w:r>
    </w:p>
    <w:p>
      <w:r>
        <w:t>Estimated duration with objections = 16 weeks.</w:t>
      </w:r>
    </w:p>
    <w:p>
      <w:pPr>
        <w:pStyle w:val="Heading2"/>
      </w:pPr>
      <w:r>
        <w:t>12.4 Scope Decision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Option</w:t>
            </w:r>
          </w:p>
        </w:tc>
        <w:tc>
          <w:tcPr>
            <w:tcW w:type="dxa" w:w="2484"/>
            <w:vAlign w:val="center"/>
            <w:shd w:fill="D9EAF7"/>
          </w:tcPr>
          <w:p>
            <w:r/>
            <w:r>
              <w:rPr>
                <w:b/>
                <w:sz w:val="18"/>
              </w:rPr>
              <w:t>Points</w:t>
            </w:r>
          </w:p>
        </w:tc>
        <w:tc>
          <w:tcPr>
            <w:tcW w:type="dxa" w:w="2484"/>
            <w:vAlign w:val="center"/>
            <w:shd w:fill="D9EAF7"/>
          </w:tcPr>
          <w:p>
            <w:r/>
            <w:r>
              <w:rPr>
                <w:b/>
                <w:sz w:val="18"/>
              </w:rPr>
              <w:t>Sprints</w:t>
            </w:r>
          </w:p>
        </w:tc>
        <w:tc>
          <w:tcPr>
            <w:tcW w:type="dxa" w:w="2484"/>
            <w:vAlign w:val="center"/>
            <w:shd w:fill="D9EAF7"/>
          </w:tcPr>
          <w:p>
            <w:r/>
            <w:r>
              <w:rPr>
                <w:b/>
                <w:sz w:val="18"/>
              </w:rPr>
              <w:t>Duration</w:t>
            </w:r>
          </w:p>
        </w:tc>
      </w:tr>
      <w:tr>
        <w:tc>
          <w:tcPr>
            <w:tcW w:type="dxa" w:w="2484"/>
            <w:vAlign w:val="center"/>
          </w:tcPr>
          <w:p>
            <w:r/>
            <w:r>
              <w:rPr>
                <w:b w:val="0"/>
                <w:sz w:val="18"/>
              </w:rPr>
              <w:t>Without objections</w:t>
            </w:r>
          </w:p>
        </w:tc>
        <w:tc>
          <w:tcPr>
            <w:tcW w:type="dxa" w:w="2484"/>
            <w:vAlign w:val="center"/>
          </w:tcPr>
          <w:p>
            <w:r/>
            <w:r>
              <w:rPr>
                <w:b w:val="0"/>
                <w:sz w:val="18"/>
              </w:rPr>
              <w:t>55</w:t>
            </w:r>
          </w:p>
        </w:tc>
        <w:tc>
          <w:tcPr>
            <w:tcW w:type="dxa" w:w="2484"/>
            <w:vAlign w:val="center"/>
          </w:tcPr>
          <w:p>
            <w:r/>
            <w:r>
              <w:rPr>
                <w:b w:val="0"/>
                <w:sz w:val="18"/>
              </w:rPr>
              <w:t>5</w:t>
            </w:r>
          </w:p>
        </w:tc>
        <w:tc>
          <w:tcPr>
            <w:tcW w:type="dxa" w:w="2484"/>
            <w:vAlign w:val="center"/>
          </w:tcPr>
          <w:p>
            <w:r/>
            <w:r>
              <w:rPr>
                <w:b w:val="0"/>
                <w:sz w:val="18"/>
              </w:rPr>
              <w:t>10 weeks</w:t>
            </w:r>
          </w:p>
        </w:tc>
      </w:tr>
      <w:tr>
        <w:tc>
          <w:tcPr>
            <w:tcW w:type="dxa" w:w="2484"/>
            <w:vAlign w:val="center"/>
          </w:tcPr>
          <w:p>
            <w:r/>
            <w:r>
              <w:rPr>
                <w:b w:val="0"/>
                <w:sz w:val="18"/>
              </w:rPr>
              <w:t>With objections</w:t>
            </w:r>
          </w:p>
        </w:tc>
        <w:tc>
          <w:tcPr>
            <w:tcW w:type="dxa" w:w="2484"/>
            <w:vAlign w:val="center"/>
          </w:tcPr>
          <w:p>
            <w:r/>
            <w:r>
              <w:rPr>
                <w:b w:val="0"/>
                <w:sz w:val="18"/>
              </w:rPr>
              <w:t>84</w:t>
            </w:r>
          </w:p>
        </w:tc>
        <w:tc>
          <w:tcPr>
            <w:tcW w:type="dxa" w:w="2484"/>
            <w:vAlign w:val="center"/>
          </w:tcPr>
          <w:p>
            <w:r/>
            <w:r>
              <w:rPr>
                <w:b w:val="0"/>
                <w:sz w:val="18"/>
              </w:rPr>
              <w:t>8</w:t>
            </w:r>
          </w:p>
        </w:tc>
        <w:tc>
          <w:tcPr>
            <w:tcW w:type="dxa" w:w="2484"/>
            <w:vAlign w:val="center"/>
          </w:tcPr>
          <w:p>
            <w:r/>
            <w:r>
              <w:rPr>
                <w:b w:val="0"/>
                <w:sz w:val="18"/>
              </w:rPr>
              <w:t>16 weeks</w:t>
            </w:r>
          </w:p>
        </w:tc>
      </w:tr>
    </w:tbl>
    <w:p/>
    <w:p>
      <w:r>
        <w:t>For Release 1, the full legal objection workflow will be kept out of scope. Without objections, the estimated work requires 10 weeks, leaving 6 weeks within the 16-week period. With objections, the estimated work consumes all 16 weeks and leaves no schedule buffer. In addition, the case study states that objections involve legal procedures requiring more time. Therefore, the first release focuses on the core search, self-assessment, calculation, payment and receipt process.</w:t>
      </w:r>
    </w:p>
    <w:p>
      <w:pPr>
        <w:pStyle w:val="Heading1"/>
      </w:pPr>
      <w:r>
        <w:t>13. Conclusion</w:t>
      </w:r>
    </w:p>
    <w:p>
      <w:r>
        <w:t>This SRS defines the requirements and initial scope of the PropTax online property-tax self-assessment and payment portal. The first release focuses on property search, self-assessment, calculation, payment and receipt generation. The full objection workflow is excluded from Release 1 because of its additional effort, legal complexity and the 16-week schedule constraint. The requirements are prioritized using MoSCoW and each functional requirement is linked to a planned test case for traceability.</w:t>
      </w:r>
    </w:p>
    <w:p>
      <w:r>
        <w:br w:type="page"/>
      </w:r>
    </w:p>
    <w:p>
      <w:pPr>
        <w:pStyle w:val="Heading1"/>
      </w:pPr>
      <w:r>
        <w:t>Appendix A – Case Study Given Project Data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Given Value</w:t>
            </w:r>
          </w:p>
        </w:tc>
      </w:tr>
      <w:tr>
        <w:tc>
          <w:tcPr>
            <w:tcW w:type="dxa" w:w="4968"/>
            <w:vAlign w:val="center"/>
          </w:tcPr>
          <w:p>
            <w:r/>
            <w:r>
              <w:rPr>
                <w:b w:val="0"/>
                <w:sz w:val="18"/>
              </w:rPr>
              <w:t>City population</w:t>
            </w:r>
          </w:p>
        </w:tc>
        <w:tc>
          <w:tcPr>
            <w:tcW w:type="dxa" w:w="4968"/>
            <w:vAlign w:val="center"/>
          </w:tcPr>
          <w:p>
            <w:r/>
            <w:r>
              <w:rPr>
                <w:b w:val="0"/>
                <w:sz w:val="18"/>
              </w:rPr>
              <w:t>9 lakh people</w:t>
            </w:r>
          </w:p>
        </w:tc>
      </w:tr>
      <w:tr>
        <w:tc>
          <w:tcPr>
            <w:tcW w:type="dxa" w:w="4968"/>
            <w:vAlign w:val="center"/>
          </w:tcPr>
          <w:p>
            <w:r/>
            <w:r>
              <w:rPr>
                <w:b w:val="0"/>
                <w:sz w:val="18"/>
              </w:rPr>
              <w:t>Properties</w:t>
            </w:r>
          </w:p>
        </w:tc>
        <w:tc>
          <w:tcPr>
            <w:tcW w:type="dxa" w:w="4968"/>
            <w:vAlign w:val="center"/>
          </w:tcPr>
          <w:p>
            <w:r/>
            <w:r>
              <w:rPr>
                <w:b w:val="0"/>
                <w:sz w:val="18"/>
              </w:rPr>
              <w:t>1.8 lakh properties</w:t>
            </w:r>
          </w:p>
        </w:tc>
      </w:tr>
      <w:tr>
        <w:tc>
          <w:tcPr>
            <w:tcW w:type="dxa" w:w="4968"/>
            <w:vAlign w:val="center"/>
          </w:tcPr>
          <w:p>
            <w:r/>
            <w:r>
              <w:rPr>
                <w:b w:val="0"/>
                <w:sz w:val="18"/>
              </w:rPr>
              <w:t>Search &amp; Calculator backlog</w:t>
            </w:r>
          </w:p>
        </w:tc>
        <w:tc>
          <w:tcPr>
            <w:tcW w:type="dxa" w:w="4968"/>
            <w:vAlign w:val="center"/>
          </w:tcPr>
          <w:p>
            <w:r/>
            <w:r>
              <w:rPr>
                <w:b w:val="0"/>
                <w:sz w:val="18"/>
              </w:rPr>
              <w:t>34 points</w:t>
            </w:r>
          </w:p>
        </w:tc>
      </w:tr>
      <w:tr>
        <w:tc>
          <w:tcPr>
            <w:tcW w:type="dxa" w:w="4968"/>
            <w:vAlign w:val="center"/>
          </w:tcPr>
          <w:p>
            <w:r/>
            <w:r>
              <w:rPr>
                <w:b w:val="0"/>
                <w:sz w:val="18"/>
              </w:rPr>
              <w:t>Payment &amp; Receipts backlog</w:t>
            </w:r>
          </w:p>
        </w:tc>
        <w:tc>
          <w:tcPr>
            <w:tcW w:type="dxa" w:w="4968"/>
            <w:vAlign w:val="center"/>
          </w:tcPr>
          <w:p>
            <w:r/>
            <w:r>
              <w:rPr>
                <w:b w:val="0"/>
                <w:sz w:val="18"/>
              </w:rPr>
              <w:t>21 points</w:t>
            </w:r>
          </w:p>
        </w:tc>
      </w:tr>
      <w:tr>
        <w:tc>
          <w:tcPr>
            <w:tcW w:type="dxa" w:w="4968"/>
            <w:vAlign w:val="center"/>
          </w:tcPr>
          <w:p>
            <w:r/>
            <w:r>
              <w:rPr>
                <w:b w:val="0"/>
                <w:sz w:val="18"/>
              </w:rPr>
              <w:t>Objections Workflow backlog</w:t>
            </w:r>
          </w:p>
        </w:tc>
        <w:tc>
          <w:tcPr>
            <w:tcW w:type="dxa" w:w="4968"/>
            <w:vAlign w:val="center"/>
          </w:tcPr>
          <w:p>
            <w:r/>
            <w:r>
              <w:rPr>
                <w:b w:val="0"/>
                <w:sz w:val="18"/>
              </w:rPr>
              <w:t>29 points</w:t>
            </w:r>
          </w:p>
        </w:tc>
      </w:tr>
      <w:tr>
        <w:tc>
          <w:tcPr>
            <w:tcW w:type="dxa" w:w="4968"/>
            <w:vAlign w:val="center"/>
          </w:tcPr>
          <w:p>
            <w:r/>
            <w:r>
              <w:rPr>
                <w:b w:val="0"/>
                <w:sz w:val="18"/>
              </w:rPr>
              <w:t>Velocity</w:t>
            </w:r>
          </w:p>
        </w:tc>
        <w:tc>
          <w:tcPr>
            <w:tcW w:type="dxa" w:w="4968"/>
            <w:vAlign w:val="center"/>
          </w:tcPr>
          <w:p>
            <w:r/>
            <w:r>
              <w:rPr>
                <w:b w:val="0"/>
                <w:sz w:val="18"/>
              </w:rPr>
              <w:t>11 points per 2-week sprint</w:t>
            </w:r>
          </w:p>
        </w:tc>
      </w:tr>
      <w:tr>
        <w:tc>
          <w:tcPr>
            <w:tcW w:type="dxa" w:w="4968"/>
            <w:vAlign w:val="center"/>
          </w:tcPr>
          <w:p>
            <w:r/>
            <w:r>
              <w:rPr>
                <w:b w:val="0"/>
                <w:sz w:val="18"/>
              </w:rPr>
              <w:t>Tax year starts</w:t>
            </w:r>
          </w:p>
        </w:tc>
        <w:tc>
          <w:tcPr>
            <w:tcW w:type="dxa" w:w="4968"/>
            <w:vAlign w:val="center"/>
          </w:tcPr>
          <w:p>
            <w:r/>
            <w:r>
              <w:rPr>
                <w:b w:val="0"/>
                <w:sz w:val="18"/>
              </w:rPr>
              <w:t>16 weeks</w:t>
            </w:r>
          </w:p>
        </w:tc>
      </w:tr>
      <w:tr>
        <w:tc>
          <w:tcPr>
            <w:tcW w:type="dxa" w:w="4968"/>
            <w:vAlign w:val="center"/>
          </w:tcPr>
          <w:p>
            <w:r/>
            <w:r>
              <w:rPr>
                <w:b w:val="0"/>
                <w:sz w:val="18"/>
              </w:rPr>
              <w:t>Online payment target</w:t>
            </w:r>
          </w:p>
        </w:tc>
        <w:tc>
          <w:tcPr>
            <w:tcW w:type="dxa" w:w="4968"/>
            <w:vAlign w:val="center"/>
          </w:tcPr>
          <w:p>
            <w:r/>
            <w:r>
              <w:rPr>
                <w:b w:val="0"/>
                <w:sz w:val="18"/>
              </w:rPr>
              <w:t>35% of payments in Year 1</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Ragini Singh | Case Study 141 | PropTax SRS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