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需求样本 M1V1-DX-024</w:t>
      </w:r>
    </w:p>
    <w:p>
      <w:r>
        <w:t>样本编号：M1V1-DX-024</w:t>
      </w:r>
    </w:p>
    <w:p>
      <w:r>
        <w:t>领域：release</w:t>
      </w:r>
    </w:p>
    <w:p>
      <w:r>
        <w:t>来源：boundary_synthetic</w:t>
      </w:r>
    </w:p>
    <w:p>
      <w:r>
        <w:t>背景：本需求用于验证文档解析、规则执行与回归口径一致性。</w:t>
      </w:r>
    </w:p>
    <w:p>
      <w:r>
        <w:t>验收标准：字段完整、流程可追溯、边界行为可复现。</w:t>
      </w:r>
    </w:p>
    <w:p>
      <w:r>
        <w:t>标准场景：单一需求路径，状态转移无冲突。</w:t>
      </w:r>
    </w:p>
    <w:p>
      <w:r>
        <w:t>补充：需验证错误处理分支是否产生日志与告警。</w:t>
      </w:r>
    </w:p>
    <w:p>
      <w:r>
        <w:t>补充：需验证报告中的 evidence 字段可回溯至原始输入。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