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M1V1-DX-036</w:t>
      </w:r>
    </w:p>
    <w:p>
      <w:r>
        <w:t>样本编号：M1V1-DX-036</w:t>
      </w:r>
    </w:p>
    <w:p>
      <w:r>
        <w:t>领域：auth</w:t>
      </w:r>
    </w:p>
    <w:p>
      <w:r>
        <w:t>来源：boundary_synthetic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补充：验证跨模块依赖情况下，任务阻塞升级与回滚触发阈值是否一致。</w:t>
      </w:r>
    </w:p>
    <w:p>
      <w:r>
        <w:t>补充：验证重试场景中的请求幂等键与去重策略。</w:t>
      </w:r>
    </w:p>
    <w:p>
      <w:r>
        <w:t>补充：验证审计报表中的责任人、时间戳、状态字典是否可映射到看板。</w:t>
      </w:r>
    </w:p>
    <w:p>
      <w:r>
        <w:t>补充：验证长文本分段后的规则命中结果保持一致。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