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2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3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drawing>
          <wp:inline>
            <wp:extent cx="5940425" cy="13042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1304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5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6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7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8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9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A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B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C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D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0E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 О ВЫПОЛНЕНИИ</w:t>
      </w:r>
    </w:p>
    <w:p w14:paraId="0F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практической работы № 5</w:t>
      </w:r>
    </w:p>
    <w:p w14:paraId="10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предмету МДК 3.1</w:t>
      </w:r>
    </w:p>
    <w:p w14:paraId="11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«Моделирование и анализ ПО»</w:t>
      </w:r>
    </w:p>
    <w:p w14:paraId="12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3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4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5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6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 ст. гр. 2ИСП11-31ВБ Синицын О. Е. Кузнецов Е. А.</w:t>
      </w:r>
    </w:p>
    <w:p w14:paraId="17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Специальность: 09.02.07 </w:t>
      </w:r>
    </w:p>
    <w:p w14:paraId="18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 w14:paraId="19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преподаватель Боклач Б. И.</w:t>
      </w:r>
    </w:p>
    <w:p w14:paraId="1A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B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C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D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E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F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0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1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2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3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4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2023</w:t>
      </w:r>
    </w:p>
    <w:p w14:paraId="25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6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7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</w:p>
    <w:p w14:paraId="28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 xml:space="preserve">Тема: </w:t>
      </w:r>
      <w:r>
        <w:rPr>
          <w:rFonts w:ascii="Times New Roman" w:hAnsi="Times New Roman"/>
          <w:sz w:val="28"/>
        </w:rPr>
        <w:t>Планирование  CODE-REVIEW</w:t>
      </w:r>
      <w:r>
        <w:rPr>
          <w:rFonts w:ascii="Times New Roman" w:hAnsi="Times New Roman"/>
          <w:color w:val="000000"/>
          <w:sz w:val="28"/>
          <w:u w:val="none"/>
        </w:rPr>
        <w:t>.</w:t>
      </w:r>
    </w:p>
    <w:p w14:paraId="29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  <w:r>
        <w:rPr>
          <w:rFonts w:ascii="Times New Roman" w:hAnsi="Times New Roman"/>
          <w:b w:val="1"/>
          <w:sz w:val="28"/>
        </w:rPr>
        <w:t>Цель работы:</w:t>
      </w:r>
      <w:r>
        <w:rPr>
          <w:rFonts w:ascii="Times New Roman" w:hAnsi="Times New Roman"/>
          <w:b w:val="0"/>
          <w:sz w:val="28"/>
        </w:rPr>
        <w:t xml:space="preserve"> П</w:t>
      </w:r>
      <w:r>
        <w:rPr>
          <w:rFonts w:ascii="Times New Roman" w:hAnsi="Times New Roman"/>
          <w:sz w:val="28"/>
        </w:rPr>
        <w:t>олучение практических навыков подготовки среды совместной разработки для проведения инспекции программного года.</w:t>
      </w:r>
    </w:p>
    <w:p w14:paraId="2A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color w:val="000000"/>
          <w:sz w:val="28"/>
          <w:u w:val="none"/>
        </w:rPr>
      </w:pPr>
      <w:r>
        <w:rPr>
          <w:rFonts w:ascii="Times New Roman" w:hAnsi="Times New Roman"/>
          <w:b w:val="1"/>
          <w:sz w:val="28"/>
        </w:rPr>
        <w:t>Ход работы:</w:t>
      </w:r>
    </w:p>
    <w:p w14:paraId="2B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Задание 1</w:t>
      </w:r>
    </w:p>
    <w:p w14:paraId="2C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 xml:space="preserve">Создаем </w:t>
      </w:r>
      <w:r>
        <w:rPr>
          <w:rFonts w:ascii="Times New Roman" w:hAnsi="Times New Roman"/>
          <w:b w:val="0"/>
          <w:sz w:val="28"/>
        </w:rPr>
        <w:t>репозиторий</w:t>
      </w:r>
    </w:p>
    <w:p w14:paraId="2D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</w:rPr>
        <w:drawing>
          <wp:inline>
            <wp:extent cx="5778500" cy="268287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78500" cy="2682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spacing w:after="0" w:before="0" w:line="264" w:lineRule="auto"/>
        <w:ind w:firstLine="709" w:left="0" w:right="7"/>
        <w:jc w:val="center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>Рис.1</w:t>
      </w:r>
    </w:p>
    <w:p w14:paraId="2F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Задание 2</w:t>
      </w:r>
    </w:p>
    <w:p w14:paraId="30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>Создаем организацию</w:t>
      </w:r>
    </w:p>
    <w:p w14:paraId="31000000">
      <w:pPr>
        <w:pStyle w:val="Style_1"/>
        <w:spacing w:after="0" w:before="0" w:line="264" w:lineRule="auto"/>
        <w:ind w:firstLine="709" w:left="0" w:right="7"/>
        <w:jc w:val="center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</w:rPr>
        <w:drawing>
          <wp:inline>
            <wp:extent cx="6264274" cy="229601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22960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color w:val="000000"/>
          <w:sz w:val="28"/>
          <w:u w:val="none"/>
        </w:rPr>
        <w:t>Рис.2</w:t>
      </w:r>
    </w:p>
    <w:p w14:paraId="32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3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4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5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6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7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</w:p>
    <w:p w14:paraId="38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Задние 3</w:t>
      </w:r>
    </w:p>
    <w:p w14:paraId="39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>Приглашаем доп. участника через почту, после того как второй участник присоединяется к организации после подтверждения запроса отправленного ему на почту.</w:t>
      </w:r>
    </w:p>
    <w:p w14:paraId="3A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</w:rPr>
        <w:drawing>
          <wp:inline>
            <wp:extent cx="6109017" cy="414676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09017" cy="41467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pStyle w:val="Style_1"/>
        <w:spacing w:after="0" w:before="0" w:line="264" w:lineRule="auto"/>
        <w:ind w:firstLine="709" w:left="0" w:right="7"/>
        <w:jc w:val="center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>Рис.3</w:t>
      </w:r>
    </w:p>
    <w:p w14:paraId="3C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Задание 4</w:t>
      </w:r>
    </w:p>
    <w:p w14:paraId="3D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 xml:space="preserve">Задаем параметры необходимые для отправки и слияния </w:t>
      </w:r>
    </w:p>
    <w:p w14:paraId="3E000000">
      <w:pPr>
        <w:pStyle w:val="Style_1"/>
        <w:spacing w:after="0" w:before="0" w:line="264" w:lineRule="auto"/>
        <w:ind w:firstLine="709" w:left="0" w:right="7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</w:rPr>
        <w:drawing>
          <wp:inline>
            <wp:extent cx="5746750" cy="25400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4675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"/>
        <w:spacing w:after="0" w:before="0" w:line="264" w:lineRule="auto"/>
        <w:ind w:firstLine="709" w:left="0" w:right="7"/>
        <w:jc w:val="center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color w:val="000000"/>
          <w:sz w:val="28"/>
          <w:u w:val="none"/>
        </w:rPr>
        <w:t>Рис.4</w:t>
      </w:r>
    </w:p>
    <w:p w14:paraId="40000000">
      <w:pPr>
        <w:pStyle w:val="Style_1"/>
        <w:spacing w:after="0" w:before="0" w:line="264" w:lineRule="auto"/>
        <w:ind w:firstLine="709" w:left="0" w:right="7"/>
        <w:jc w:val="left"/>
        <w:rPr>
          <w:rFonts w:ascii="Times New Roman" w:hAnsi="Times New Roman"/>
          <w:b w:val="0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Вывод:</w:t>
      </w:r>
      <w:r>
        <w:rPr>
          <w:rFonts w:ascii="Times New Roman" w:hAnsi="Times New Roman"/>
          <w:b w:val="0"/>
          <w:color w:val="000000"/>
          <w:sz w:val="28"/>
          <w:u w:val="none"/>
        </w:rPr>
        <w:t xml:space="preserve"> </w:t>
      </w:r>
      <w:r>
        <w:rPr>
          <w:rFonts w:ascii="Times New Roman" w:hAnsi="Times New Roman"/>
          <w:sz w:val="28"/>
        </w:rPr>
        <w:t>Мы получили навыки подготовки среды совместной разработки для проведения инспекции программного года.</w:t>
      </w:r>
    </w:p>
    <w:p w14:paraId="41000000">
      <w:pPr>
        <w:pStyle w:val="Style_1"/>
        <w:spacing w:after="0" w:before="0" w:line="264" w:lineRule="auto"/>
        <w:ind w:firstLine="709" w:left="0" w:right="7"/>
        <w:jc w:val="left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Ответы на контрольные вопросы:</w:t>
      </w:r>
    </w:p>
    <w:p w14:paraId="42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Какие действия необходимо выполнить что бы подготовить среду разработки для инспекции кода?</w:t>
      </w:r>
    </w:p>
    <w:p w14:paraId="43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>- Установить и настроить необходимые инструменты, такие как статический анализатор кода (например, SonarQube) и систему контроля версий (например, Git).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Создать проект или репозиторий для хранения исходного кода.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Настроить инструменты для автоматической проверки кода при каждом коммите или пуше в репозиторий.</w:t>
      </w:r>
    </w:p>
    <w:p w14:paraId="46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   - Запустить инспекцию кода и проанализировать полученные результаты.</w:t>
      </w:r>
    </w:p>
    <w:p w14:paraId="47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Какие методы существуют для настройки Github для совместной работы нескольких разработчиков?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Создание команды или организации в Github, где участники могут работать над проектом вместе.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Назначение разработчикам соответствующих прав доступа к репозиторию, чтобы они могли вносить изменения и рецензировать код.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Использование функциональности pull request для обсуждения и слияния изменений от разных разработчиков.</w:t>
      </w:r>
    </w:p>
    <w:p w14:paraId="4B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   - Использование функциональности issues для отслеживания задач и обсуждения проблем.</w:t>
      </w:r>
    </w:p>
    <w:p w14:paraId="4C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Что такое организация разработки в сервисе Github? </w:t>
      </w:r>
    </w:p>
    <w:p w14:paraId="4D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Организация разработки в сервисе Github представляет собой создание команды или организации, в которой участники могут работать над проектом вместе. В рамках организации можно создавать и управлять репозиториями, назначать разработчикам права доступа и управлять задачами и обсуждениями.</w:t>
      </w:r>
    </w:p>
    <w:p w14:paraId="4E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Какие уровни доступа могут быть заданы для организации в Github? 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Владелец (Owner): имеет полный доступ ко всем репозиториям и может управлять настройками организации.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Администратор (Admin): имеет полный доступ к репозиториям организации, но не может управлять настройками организации.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Писатель (Write): может изменять код и управлять задачами и обсуждениями в репозитории.</w:t>
      </w:r>
    </w:p>
    <w:p w14:paraId="52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   - Читатель (Read): имеет только чтение доступа к репозиторию.</w:t>
      </w:r>
    </w:p>
    <w:p w14:paraId="53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Какие параметры должны быть заданы при настройки отправки и слияния копии репозитория? 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 настройке отправки и слияния копии репозитория необходимо задать следующие параметры: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Исходный репозиторий (Source repository): указывает на репозиторий, из которого будут отправляться изменения.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Целевой репозиторий (Target repository): указывает на репозиторий, в который будут сливаться изменения.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Ветка исходного репозитория (Source branch): указывает на ветку, из которой будут отправляться изменения.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Ветка целевого репозитория (Target branch): указывает на ветку, в которую будут сливаться изменения.</w:t>
      </w:r>
    </w:p>
    <w:p w14:paraId="59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   - Описание изменений (Change description): описывает суть внесенных изменений.</w:t>
      </w:r>
    </w:p>
    <w:p w14:paraId="5A000000">
      <w:pPr>
        <w:numPr>
          <w:ilvl w:val="0"/>
          <w:numId w:val="1"/>
        </w:num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Какие модели применяются при создания копии репозитария?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Fork: создается точная копия репозитория, в которой разработчик может вносить изменения и предлагать их для слияния обратно в исходный репозиторий.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Clone: создается локальная копия репозитория на компьютере разработчика, где он может работать над проектом и отправлять изменения обратно в удаленный репозиторий.</w:t>
      </w:r>
    </w:p>
    <w:p w14:paraId="5D000000">
      <w:pPr>
        <w:ind w:right="172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   - Branch: создается новая ветка в репозитории, где разработчик может вносить изменения и предлагать их для слияния с другими ветками.</w:t>
      </w:r>
    </w:p>
    <w:p w14:paraId="5E000000">
      <w:pPr>
        <w:pStyle w:val="Style_1"/>
        <w:numPr>
          <w:ilvl w:val="0"/>
          <w:numId w:val="1"/>
        </w:numPr>
        <w:spacing w:after="0" w:before="0" w:line="264" w:lineRule="auto"/>
        <w:ind w:right="7"/>
        <w:jc w:val="left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</w:rPr>
        <w:t>Что такое «обзор кода»?</w:t>
      </w:r>
    </w:p>
    <w:p w14:paraId="5F000000">
      <w:pPr>
        <w:pStyle w:val="Style_1"/>
        <w:spacing w:after="0" w:before="0" w:line="264" w:lineRule="auto"/>
        <w:ind w:right="7"/>
        <w:jc w:val="left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</w:rPr>
        <w:t xml:space="preserve"> Обзор кода (code review) - это процесс проверки и анализа кода другими разработчиками с целью выявления ошибок, улучшения качества и обмена знаниями. В ходе обзора кода разработчики могут комментировать и предлагать изменения в коде, обсуждать возможные улучшения и рекомендовать исправления. Обзор кода является важной практикой в разработке программного обеспечения для повышения качества и эффективности работы.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2023-10-10T06:22:01Z</dcterms:modified>
</cp:coreProperties>
</file>