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29E0" w14:textId="77777777" w:rsidR="00C74EC0" w:rsidRDefault="00000000">
      <w:pPr>
        <w:spacing w:after="67"/>
        <w:ind w:right="2979"/>
        <w:jc w:val="right"/>
      </w:pPr>
      <w:r>
        <w:rPr>
          <w:rFonts w:ascii="Arial" w:eastAsia="Arial" w:hAnsi="Arial" w:cs="Arial"/>
          <w:b/>
          <w:sz w:val="30"/>
        </w:rPr>
        <w:t>Project Design Phase</w:t>
      </w:r>
    </w:p>
    <w:p w14:paraId="74265947" w14:textId="77777777" w:rsidR="00C74EC0" w:rsidRDefault="00000000">
      <w:pPr>
        <w:spacing w:after="87"/>
        <w:ind w:left="-560"/>
      </w:pPr>
      <w:r>
        <w:rPr>
          <w:rFonts w:ascii="Arial" w:eastAsia="Arial" w:hAnsi="Arial" w:cs="Arial"/>
          <w:b/>
        </w:rPr>
        <w:t>Proposed Solution Template</w:t>
      </w:r>
    </w:p>
    <w:p w14:paraId="7E3BF000" w14:textId="77777777" w:rsidR="00C74EC0" w:rsidRDefault="00000000">
      <w:pPr>
        <w:spacing w:after="136"/>
        <w:ind w:left="-565" w:hanging="10"/>
      </w:pPr>
      <w:r>
        <w:rPr>
          <w:rFonts w:ascii="Arial" w:eastAsia="Arial" w:hAnsi="Arial" w:cs="Arial"/>
          <w:sz w:val="18"/>
        </w:rPr>
        <w:t>Date: 01 October 2026</w:t>
      </w:r>
    </w:p>
    <w:p w14:paraId="5C732FE7" w14:textId="77777777" w:rsidR="00C74EC0" w:rsidRDefault="00000000">
      <w:pPr>
        <w:spacing w:after="136"/>
        <w:ind w:left="-560"/>
      </w:pPr>
      <w:r>
        <w:rPr>
          <w:rFonts w:ascii="Arial" w:eastAsia="Arial" w:hAnsi="Arial" w:cs="Arial"/>
          <w:b/>
          <w:sz w:val="18"/>
        </w:rPr>
        <w:t>Team ID: SWTID-2026-8643</w:t>
      </w:r>
    </w:p>
    <w:p w14:paraId="4A018D28" w14:textId="77777777" w:rsidR="00C74EC0" w:rsidRDefault="00000000">
      <w:pPr>
        <w:spacing w:after="136"/>
        <w:ind w:left="-565" w:hanging="10"/>
      </w:pPr>
      <w:r>
        <w:rPr>
          <w:rFonts w:ascii="Arial" w:eastAsia="Arial" w:hAnsi="Arial" w:cs="Arial"/>
          <w:sz w:val="18"/>
        </w:rPr>
        <w:t>Project Name: Script-Controlled ACL - Restrict Record Access Based on Field Value</w:t>
      </w:r>
    </w:p>
    <w:p w14:paraId="38910203" w14:textId="77777777" w:rsidR="00C74EC0" w:rsidRDefault="00000000">
      <w:pPr>
        <w:spacing w:after="19"/>
        <w:ind w:left="-565" w:hanging="10"/>
      </w:pPr>
      <w:r>
        <w:rPr>
          <w:rFonts w:ascii="Arial" w:eastAsia="Arial" w:hAnsi="Arial" w:cs="Arial"/>
          <w:sz w:val="18"/>
        </w:rPr>
        <w:t>Maximum Marks: 2 Marks</w:t>
      </w:r>
    </w:p>
    <w:tbl>
      <w:tblPr>
        <w:tblStyle w:val="TableGrid"/>
        <w:tblW w:w="10040" w:type="dxa"/>
        <w:tblInd w:w="-507" w:type="dxa"/>
        <w:tblCellMar>
          <w:top w:w="148" w:type="dxa"/>
          <w:left w:w="100" w:type="dxa"/>
          <w:bottom w:w="0" w:type="dxa"/>
          <w:right w:w="100" w:type="dxa"/>
        </w:tblCellMar>
        <w:tblLook w:val="04A0" w:firstRow="1" w:lastRow="0" w:firstColumn="1" w:lastColumn="0" w:noHBand="0" w:noVBand="1"/>
      </w:tblPr>
      <w:tblGrid>
        <w:gridCol w:w="640"/>
        <w:gridCol w:w="2100"/>
        <w:gridCol w:w="7300"/>
      </w:tblGrid>
      <w:tr w:rsidR="00C74EC0" w14:paraId="21543F9D" w14:textId="77777777">
        <w:trPr>
          <w:trHeight w:val="420"/>
        </w:trPr>
        <w:tc>
          <w:tcPr>
            <w:tcW w:w="64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E06F5B2" w14:textId="77777777" w:rsidR="00C74EC0" w:rsidRDefault="00000000">
            <w:pPr>
              <w:spacing w:after="0"/>
            </w:pPr>
            <w:proofErr w:type="spellStart"/>
            <w:r>
              <w:rPr>
                <w:rFonts w:ascii="Arial" w:eastAsia="Arial" w:hAnsi="Arial" w:cs="Arial"/>
                <w:sz w:val="17"/>
              </w:rPr>
              <w:t>S.No</w:t>
            </w:r>
            <w:proofErr w:type="spellEnd"/>
            <w:r>
              <w:rPr>
                <w:rFonts w:ascii="Arial" w:eastAsia="Arial" w:hAnsi="Arial" w:cs="Arial"/>
                <w:sz w:val="17"/>
              </w:rPr>
              <w:t>.</w:t>
            </w:r>
          </w:p>
        </w:tc>
        <w:tc>
          <w:tcPr>
            <w:tcW w:w="21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C0C87E0" w14:textId="77777777" w:rsidR="00C74EC0" w:rsidRDefault="00000000">
            <w:pPr>
              <w:spacing w:after="0"/>
            </w:pPr>
            <w:r>
              <w:rPr>
                <w:rFonts w:ascii="Arial" w:eastAsia="Arial" w:hAnsi="Arial" w:cs="Arial"/>
                <w:sz w:val="17"/>
              </w:rPr>
              <w:t>Parameter</w:t>
            </w:r>
          </w:p>
        </w:tc>
        <w:tc>
          <w:tcPr>
            <w:tcW w:w="73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7C590E3" w14:textId="77777777" w:rsidR="00C74EC0" w:rsidRDefault="00000000">
            <w:pPr>
              <w:spacing w:after="0"/>
            </w:pPr>
            <w:r>
              <w:rPr>
                <w:rFonts w:ascii="Arial" w:eastAsia="Arial" w:hAnsi="Arial" w:cs="Arial"/>
                <w:sz w:val="17"/>
              </w:rPr>
              <w:t>Description</w:t>
            </w:r>
          </w:p>
        </w:tc>
      </w:tr>
      <w:tr w:rsidR="00C74EC0" w14:paraId="25967A9B" w14:textId="77777777">
        <w:trPr>
          <w:trHeight w:val="1300"/>
        </w:trPr>
        <w:tc>
          <w:tcPr>
            <w:tcW w:w="640" w:type="dxa"/>
            <w:tcBorders>
              <w:top w:val="single" w:sz="4" w:space="0" w:color="808080"/>
              <w:left w:val="single" w:sz="4" w:space="0" w:color="808080"/>
              <w:bottom w:val="single" w:sz="4" w:space="0" w:color="808080"/>
              <w:right w:val="single" w:sz="4" w:space="0" w:color="808080"/>
            </w:tcBorders>
          </w:tcPr>
          <w:p w14:paraId="38193A22" w14:textId="77777777" w:rsidR="00C74EC0" w:rsidRDefault="00000000">
            <w:pPr>
              <w:spacing w:after="0"/>
            </w:pPr>
            <w:r>
              <w:rPr>
                <w:rFonts w:ascii="Arial" w:eastAsia="Arial" w:hAnsi="Arial" w:cs="Arial"/>
                <w:sz w:val="17"/>
              </w:rPr>
              <w:t>1</w:t>
            </w:r>
          </w:p>
        </w:tc>
        <w:tc>
          <w:tcPr>
            <w:tcW w:w="2100" w:type="dxa"/>
            <w:tcBorders>
              <w:top w:val="single" w:sz="4" w:space="0" w:color="808080"/>
              <w:left w:val="single" w:sz="4" w:space="0" w:color="808080"/>
              <w:bottom w:val="single" w:sz="4" w:space="0" w:color="808080"/>
              <w:right w:val="single" w:sz="4" w:space="0" w:color="808080"/>
            </w:tcBorders>
          </w:tcPr>
          <w:p w14:paraId="3AD80ADC" w14:textId="77777777" w:rsidR="00C74EC0" w:rsidRDefault="00000000">
            <w:pPr>
              <w:spacing w:after="9"/>
            </w:pPr>
            <w:r>
              <w:rPr>
                <w:rFonts w:ascii="Arial" w:eastAsia="Arial" w:hAnsi="Arial" w:cs="Arial"/>
                <w:sz w:val="17"/>
              </w:rPr>
              <w:t>Problem Statement</w:t>
            </w:r>
          </w:p>
          <w:p w14:paraId="0D2571F7" w14:textId="77777777" w:rsidR="00C74EC0" w:rsidRDefault="00000000">
            <w:pPr>
              <w:spacing w:after="0"/>
            </w:pPr>
            <w:r>
              <w:rPr>
                <w:rFonts w:ascii="Arial" w:eastAsia="Arial" w:hAnsi="Arial" w:cs="Arial"/>
                <w:sz w:val="17"/>
              </w:rPr>
              <w:t>(Problem to be solved)</w:t>
            </w:r>
          </w:p>
        </w:tc>
        <w:tc>
          <w:tcPr>
            <w:tcW w:w="7300" w:type="dxa"/>
            <w:tcBorders>
              <w:top w:val="single" w:sz="4" w:space="0" w:color="808080"/>
              <w:left w:val="single" w:sz="4" w:space="0" w:color="808080"/>
              <w:bottom w:val="single" w:sz="4" w:space="0" w:color="808080"/>
              <w:right w:val="single" w:sz="4" w:space="0" w:color="808080"/>
            </w:tcBorders>
            <w:vAlign w:val="center"/>
          </w:tcPr>
          <w:p w14:paraId="7091D49D" w14:textId="77777777" w:rsidR="00C74EC0" w:rsidRDefault="00000000">
            <w:pPr>
              <w:spacing w:after="0"/>
            </w:pPr>
            <w:r>
              <w:rPr>
                <w:rFonts w:ascii="Arial" w:eastAsia="Arial" w:hAnsi="Arial" w:cs="Arial"/>
                <w:sz w:val="17"/>
              </w:rPr>
              <w:t>In ServiceNow, users who can access a table may normally view its records. For an institution, this can expose student details such as email, phone number and faculty information across ECE, EEE and CSE to users who only require their own branch data. There is also no clear separation between viewing, creating, editing and deleting records. The institution therefore needs record-level security based on the Branch field and the user's role.</w:t>
            </w:r>
          </w:p>
        </w:tc>
      </w:tr>
      <w:tr w:rsidR="00C74EC0" w14:paraId="16675A7D" w14:textId="77777777">
        <w:trPr>
          <w:trHeight w:val="1520"/>
        </w:trPr>
        <w:tc>
          <w:tcPr>
            <w:tcW w:w="640" w:type="dxa"/>
            <w:tcBorders>
              <w:top w:val="single" w:sz="4" w:space="0" w:color="808080"/>
              <w:left w:val="single" w:sz="4" w:space="0" w:color="808080"/>
              <w:bottom w:val="single" w:sz="4" w:space="0" w:color="808080"/>
              <w:right w:val="single" w:sz="4" w:space="0" w:color="808080"/>
            </w:tcBorders>
          </w:tcPr>
          <w:p w14:paraId="18EA519F" w14:textId="77777777" w:rsidR="00C74EC0" w:rsidRDefault="00000000">
            <w:pPr>
              <w:spacing w:after="0"/>
            </w:pPr>
            <w:r>
              <w:rPr>
                <w:rFonts w:ascii="Arial" w:eastAsia="Arial" w:hAnsi="Arial" w:cs="Arial"/>
                <w:sz w:val="17"/>
              </w:rPr>
              <w:t>2</w:t>
            </w:r>
          </w:p>
        </w:tc>
        <w:tc>
          <w:tcPr>
            <w:tcW w:w="2100" w:type="dxa"/>
            <w:tcBorders>
              <w:top w:val="single" w:sz="4" w:space="0" w:color="808080"/>
              <w:left w:val="single" w:sz="4" w:space="0" w:color="808080"/>
              <w:bottom w:val="single" w:sz="4" w:space="0" w:color="808080"/>
              <w:right w:val="single" w:sz="4" w:space="0" w:color="808080"/>
            </w:tcBorders>
          </w:tcPr>
          <w:p w14:paraId="7049F4E9" w14:textId="77777777" w:rsidR="00C74EC0" w:rsidRDefault="00000000">
            <w:pPr>
              <w:spacing w:after="0"/>
            </w:pPr>
            <w:r>
              <w:rPr>
                <w:rFonts w:ascii="Arial" w:eastAsia="Arial" w:hAnsi="Arial" w:cs="Arial"/>
                <w:sz w:val="17"/>
              </w:rPr>
              <w:t>Idea / Solution description</w:t>
            </w:r>
          </w:p>
        </w:tc>
        <w:tc>
          <w:tcPr>
            <w:tcW w:w="7300" w:type="dxa"/>
            <w:tcBorders>
              <w:top w:val="single" w:sz="4" w:space="0" w:color="808080"/>
              <w:left w:val="single" w:sz="4" w:space="0" w:color="808080"/>
              <w:bottom w:val="single" w:sz="4" w:space="0" w:color="808080"/>
              <w:right w:val="single" w:sz="4" w:space="0" w:color="808080"/>
            </w:tcBorders>
            <w:vAlign w:val="center"/>
          </w:tcPr>
          <w:p w14:paraId="604578AB" w14:textId="77777777" w:rsidR="00C74EC0" w:rsidRDefault="00000000">
            <w:pPr>
              <w:spacing w:after="9"/>
            </w:pPr>
            <w:r>
              <w:rPr>
                <w:rFonts w:ascii="Arial" w:eastAsia="Arial" w:hAnsi="Arial" w:cs="Arial"/>
                <w:sz w:val="17"/>
              </w:rPr>
              <w:t>Implement script-controlled Access Control Lists (ACLs) on the custom table</w:t>
            </w:r>
          </w:p>
          <w:p w14:paraId="643312DB" w14:textId="77777777" w:rsidR="00C74EC0" w:rsidRDefault="00000000">
            <w:pPr>
              <w:spacing w:after="0"/>
            </w:pPr>
            <w:proofErr w:type="spellStart"/>
            <w:r>
              <w:rPr>
                <w:rFonts w:ascii="Arial" w:eastAsia="Arial" w:hAnsi="Arial" w:cs="Arial"/>
                <w:b/>
                <w:sz w:val="17"/>
              </w:rPr>
              <w:t>u_institution_details</w:t>
            </w:r>
            <w:proofErr w:type="spellEnd"/>
            <w:r>
              <w:rPr>
                <w:rFonts w:ascii="Arial" w:eastAsia="Arial" w:hAnsi="Arial" w:cs="Arial"/>
                <w:sz w:val="17"/>
              </w:rPr>
              <w:t>. Use separate custom roles for each operation: bb1 for Read, bb2 for Create, bb3 for Write and bb4 for Delete. The Read ACL combines the Branch = EEE condition with an advanced script: administrators receive full access, bb1 users see only EEE records, and other users are denied. Validate the setup by impersonating an EEE user, a user without the roles and an administrator.</w:t>
            </w:r>
          </w:p>
        </w:tc>
      </w:tr>
      <w:tr w:rsidR="00C74EC0" w14:paraId="31D360A0" w14:textId="77777777">
        <w:trPr>
          <w:trHeight w:val="1300"/>
        </w:trPr>
        <w:tc>
          <w:tcPr>
            <w:tcW w:w="640" w:type="dxa"/>
            <w:tcBorders>
              <w:top w:val="single" w:sz="4" w:space="0" w:color="808080"/>
              <w:left w:val="single" w:sz="4" w:space="0" w:color="808080"/>
              <w:bottom w:val="single" w:sz="4" w:space="0" w:color="808080"/>
              <w:right w:val="single" w:sz="4" w:space="0" w:color="808080"/>
            </w:tcBorders>
          </w:tcPr>
          <w:p w14:paraId="16073BB7" w14:textId="77777777" w:rsidR="00C74EC0" w:rsidRDefault="00000000">
            <w:pPr>
              <w:spacing w:after="0"/>
            </w:pPr>
            <w:r>
              <w:rPr>
                <w:rFonts w:ascii="Arial" w:eastAsia="Arial" w:hAnsi="Arial" w:cs="Arial"/>
                <w:sz w:val="17"/>
              </w:rPr>
              <w:t>3</w:t>
            </w:r>
          </w:p>
        </w:tc>
        <w:tc>
          <w:tcPr>
            <w:tcW w:w="2100" w:type="dxa"/>
            <w:tcBorders>
              <w:top w:val="single" w:sz="4" w:space="0" w:color="808080"/>
              <w:left w:val="single" w:sz="4" w:space="0" w:color="808080"/>
              <w:bottom w:val="single" w:sz="4" w:space="0" w:color="808080"/>
              <w:right w:val="single" w:sz="4" w:space="0" w:color="808080"/>
            </w:tcBorders>
          </w:tcPr>
          <w:p w14:paraId="2E8A87D7" w14:textId="77777777" w:rsidR="00C74EC0" w:rsidRDefault="00000000">
            <w:pPr>
              <w:spacing w:after="0"/>
            </w:pPr>
            <w:r>
              <w:rPr>
                <w:rFonts w:ascii="Arial" w:eastAsia="Arial" w:hAnsi="Arial" w:cs="Arial"/>
                <w:sz w:val="17"/>
              </w:rPr>
              <w:t>Novelty / Uniqueness</w:t>
            </w:r>
          </w:p>
        </w:tc>
        <w:tc>
          <w:tcPr>
            <w:tcW w:w="7300" w:type="dxa"/>
            <w:tcBorders>
              <w:top w:val="single" w:sz="4" w:space="0" w:color="808080"/>
              <w:left w:val="single" w:sz="4" w:space="0" w:color="808080"/>
              <w:bottom w:val="single" w:sz="4" w:space="0" w:color="808080"/>
              <w:right w:val="single" w:sz="4" w:space="0" w:color="808080"/>
            </w:tcBorders>
            <w:vAlign w:val="center"/>
          </w:tcPr>
          <w:p w14:paraId="138A0AF7" w14:textId="77777777" w:rsidR="00C74EC0" w:rsidRDefault="00000000">
            <w:pPr>
              <w:spacing w:after="0"/>
            </w:pPr>
            <w:r>
              <w:rPr>
                <w:rFonts w:ascii="Arial" w:eastAsia="Arial" w:hAnsi="Arial" w:cs="Arial"/>
                <w:sz w:val="17"/>
              </w:rPr>
              <w:t>The solution combines a field-based condition with an advanced script in one ACL, so access depends on both the user's role and the record's content. Each operation uses a separate role, supporting the least-privilege principle. Administrator override is retained, separate tables for each branch are unnecessary, and the design uses native ServiceNow features without external tools or plugins.</w:t>
            </w:r>
          </w:p>
        </w:tc>
      </w:tr>
      <w:tr w:rsidR="00C74EC0" w14:paraId="4A1A56CF" w14:textId="77777777">
        <w:trPr>
          <w:trHeight w:val="1080"/>
        </w:trPr>
        <w:tc>
          <w:tcPr>
            <w:tcW w:w="640" w:type="dxa"/>
            <w:tcBorders>
              <w:top w:val="single" w:sz="4" w:space="0" w:color="808080"/>
              <w:left w:val="single" w:sz="4" w:space="0" w:color="808080"/>
              <w:bottom w:val="single" w:sz="4" w:space="0" w:color="808080"/>
              <w:right w:val="single" w:sz="4" w:space="0" w:color="808080"/>
            </w:tcBorders>
          </w:tcPr>
          <w:p w14:paraId="152EAB20" w14:textId="77777777" w:rsidR="00C74EC0" w:rsidRDefault="00000000">
            <w:pPr>
              <w:spacing w:after="0"/>
            </w:pPr>
            <w:r>
              <w:rPr>
                <w:rFonts w:ascii="Arial" w:eastAsia="Arial" w:hAnsi="Arial" w:cs="Arial"/>
                <w:sz w:val="17"/>
              </w:rPr>
              <w:t>4</w:t>
            </w:r>
          </w:p>
        </w:tc>
        <w:tc>
          <w:tcPr>
            <w:tcW w:w="2100" w:type="dxa"/>
            <w:tcBorders>
              <w:top w:val="single" w:sz="4" w:space="0" w:color="808080"/>
              <w:left w:val="single" w:sz="4" w:space="0" w:color="808080"/>
              <w:bottom w:val="single" w:sz="4" w:space="0" w:color="808080"/>
              <w:right w:val="single" w:sz="4" w:space="0" w:color="808080"/>
            </w:tcBorders>
          </w:tcPr>
          <w:p w14:paraId="3A67ABAA" w14:textId="77777777" w:rsidR="00C74EC0" w:rsidRDefault="00000000">
            <w:pPr>
              <w:spacing w:after="9"/>
            </w:pPr>
            <w:r>
              <w:rPr>
                <w:rFonts w:ascii="Arial" w:eastAsia="Arial" w:hAnsi="Arial" w:cs="Arial"/>
                <w:sz w:val="17"/>
              </w:rPr>
              <w:t>Social Impact / Customer</w:t>
            </w:r>
          </w:p>
          <w:p w14:paraId="363165B6" w14:textId="77777777" w:rsidR="00C74EC0" w:rsidRDefault="00000000">
            <w:pPr>
              <w:spacing w:after="0"/>
            </w:pPr>
            <w:r>
              <w:rPr>
                <w:rFonts w:ascii="Arial" w:eastAsia="Arial" w:hAnsi="Arial" w:cs="Arial"/>
                <w:sz w:val="17"/>
              </w:rPr>
              <w:t>Satisfaction</w:t>
            </w:r>
          </w:p>
        </w:tc>
        <w:tc>
          <w:tcPr>
            <w:tcW w:w="7300" w:type="dxa"/>
            <w:tcBorders>
              <w:top w:val="single" w:sz="4" w:space="0" w:color="808080"/>
              <w:left w:val="single" w:sz="4" w:space="0" w:color="808080"/>
              <w:bottom w:val="single" w:sz="4" w:space="0" w:color="808080"/>
              <w:right w:val="single" w:sz="4" w:space="0" w:color="808080"/>
            </w:tcBorders>
            <w:vAlign w:val="center"/>
          </w:tcPr>
          <w:p w14:paraId="2017BF80" w14:textId="77777777" w:rsidR="00C74EC0" w:rsidRDefault="00000000">
            <w:pPr>
              <w:spacing w:after="0"/>
            </w:pPr>
            <w:r>
              <w:rPr>
                <w:rFonts w:ascii="Arial" w:eastAsia="Arial" w:hAnsi="Arial" w:cs="Arial"/>
                <w:sz w:val="17"/>
              </w:rPr>
              <w:t>The solution protects student personal information and privacy while improving trust between students, faculty and the institution. It reduces the possibility of accidental or intentional misuse and supports privacy and audit requirements. Branch staff receive a focused view containing only relevant records, while administrators retain complete control.</w:t>
            </w:r>
          </w:p>
        </w:tc>
      </w:tr>
      <w:tr w:rsidR="00C74EC0" w14:paraId="5B9A0639" w14:textId="77777777">
        <w:trPr>
          <w:trHeight w:val="1300"/>
        </w:trPr>
        <w:tc>
          <w:tcPr>
            <w:tcW w:w="640" w:type="dxa"/>
            <w:tcBorders>
              <w:top w:val="single" w:sz="4" w:space="0" w:color="808080"/>
              <w:left w:val="single" w:sz="4" w:space="0" w:color="808080"/>
              <w:bottom w:val="single" w:sz="4" w:space="0" w:color="808080"/>
              <w:right w:val="single" w:sz="4" w:space="0" w:color="808080"/>
            </w:tcBorders>
          </w:tcPr>
          <w:p w14:paraId="6F811DB6" w14:textId="77777777" w:rsidR="00C74EC0" w:rsidRDefault="00000000">
            <w:pPr>
              <w:spacing w:after="0"/>
            </w:pPr>
            <w:r>
              <w:rPr>
                <w:rFonts w:ascii="Arial" w:eastAsia="Arial" w:hAnsi="Arial" w:cs="Arial"/>
                <w:sz w:val="17"/>
              </w:rPr>
              <w:t>5</w:t>
            </w:r>
          </w:p>
        </w:tc>
        <w:tc>
          <w:tcPr>
            <w:tcW w:w="2100" w:type="dxa"/>
            <w:tcBorders>
              <w:top w:val="single" w:sz="4" w:space="0" w:color="808080"/>
              <w:left w:val="single" w:sz="4" w:space="0" w:color="808080"/>
              <w:bottom w:val="single" w:sz="4" w:space="0" w:color="808080"/>
              <w:right w:val="single" w:sz="4" w:space="0" w:color="808080"/>
            </w:tcBorders>
          </w:tcPr>
          <w:p w14:paraId="475DB924" w14:textId="77777777" w:rsidR="00C74EC0" w:rsidRDefault="00000000">
            <w:pPr>
              <w:spacing w:after="9"/>
            </w:pPr>
            <w:r>
              <w:rPr>
                <w:rFonts w:ascii="Arial" w:eastAsia="Arial" w:hAnsi="Arial" w:cs="Arial"/>
                <w:sz w:val="17"/>
              </w:rPr>
              <w:t>Business Model</w:t>
            </w:r>
          </w:p>
          <w:p w14:paraId="719474D0" w14:textId="77777777" w:rsidR="00C74EC0" w:rsidRDefault="00000000">
            <w:pPr>
              <w:spacing w:after="0"/>
            </w:pPr>
            <w:r>
              <w:rPr>
                <w:rFonts w:ascii="Arial" w:eastAsia="Arial" w:hAnsi="Arial" w:cs="Arial"/>
                <w:sz w:val="17"/>
              </w:rPr>
              <w:t>(Revenue Model)</w:t>
            </w:r>
          </w:p>
        </w:tc>
        <w:tc>
          <w:tcPr>
            <w:tcW w:w="7300" w:type="dxa"/>
            <w:tcBorders>
              <w:top w:val="single" w:sz="4" w:space="0" w:color="808080"/>
              <w:left w:val="single" w:sz="4" w:space="0" w:color="808080"/>
              <w:bottom w:val="single" w:sz="4" w:space="0" w:color="808080"/>
              <w:right w:val="single" w:sz="4" w:space="0" w:color="808080"/>
            </w:tcBorders>
            <w:vAlign w:val="center"/>
          </w:tcPr>
          <w:p w14:paraId="67524E7D" w14:textId="77777777" w:rsidR="00C74EC0" w:rsidRDefault="00000000">
            <w:pPr>
              <w:spacing w:after="0"/>
            </w:pPr>
            <w:r>
              <w:rPr>
                <w:rFonts w:ascii="Arial" w:eastAsia="Arial" w:hAnsi="Arial" w:cs="Arial"/>
                <w:sz w:val="17"/>
              </w:rPr>
              <w:t>This is an internal ServiceNow security capability, so its main value comes from reducing compliance and data-breach risk rather than immediate sales. It could be offered as a reusable ACL template or update set for educational institutions, included in ServiceNow implementation and consulting services, or delivered as a managed security-configuration service.</w:t>
            </w:r>
          </w:p>
        </w:tc>
      </w:tr>
      <w:tr w:rsidR="00C74EC0" w14:paraId="30D2FACA" w14:textId="77777777">
        <w:trPr>
          <w:trHeight w:val="1300"/>
        </w:trPr>
        <w:tc>
          <w:tcPr>
            <w:tcW w:w="640" w:type="dxa"/>
            <w:tcBorders>
              <w:top w:val="single" w:sz="4" w:space="0" w:color="808080"/>
              <w:left w:val="single" w:sz="4" w:space="0" w:color="808080"/>
              <w:bottom w:val="single" w:sz="4" w:space="0" w:color="808080"/>
              <w:right w:val="single" w:sz="4" w:space="0" w:color="808080"/>
            </w:tcBorders>
          </w:tcPr>
          <w:p w14:paraId="3EED995D" w14:textId="77777777" w:rsidR="00C74EC0" w:rsidRDefault="00000000">
            <w:pPr>
              <w:spacing w:after="0"/>
            </w:pPr>
            <w:r>
              <w:rPr>
                <w:rFonts w:ascii="Arial" w:eastAsia="Arial" w:hAnsi="Arial" w:cs="Arial"/>
                <w:sz w:val="17"/>
              </w:rPr>
              <w:t>6</w:t>
            </w:r>
          </w:p>
        </w:tc>
        <w:tc>
          <w:tcPr>
            <w:tcW w:w="2100" w:type="dxa"/>
            <w:tcBorders>
              <w:top w:val="single" w:sz="4" w:space="0" w:color="808080"/>
              <w:left w:val="single" w:sz="4" w:space="0" w:color="808080"/>
              <w:bottom w:val="single" w:sz="4" w:space="0" w:color="808080"/>
              <w:right w:val="single" w:sz="4" w:space="0" w:color="808080"/>
            </w:tcBorders>
          </w:tcPr>
          <w:p w14:paraId="3C216AC3" w14:textId="77777777" w:rsidR="00C74EC0" w:rsidRDefault="00000000">
            <w:pPr>
              <w:spacing w:after="0"/>
            </w:pPr>
            <w:r>
              <w:rPr>
                <w:rFonts w:ascii="Arial" w:eastAsia="Arial" w:hAnsi="Arial" w:cs="Arial"/>
                <w:sz w:val="17"/>
              </w:rPr>
              <w:t>Scalability of the Solution</w:t>
            </w:r>
          </w:p>
        </w:tc>
        <w:tc>
          <w:tcPr>
            <w:tcW w:w="7300" w:type="dxa"/>
            <w:tcBorders>
              <w:top w:val="single" w:sz="4" w:space="0" w:color="808080"/>
              <w:left w:val="single" w:sz="4" w:space="0" w:color="808080"/>
              <w:bottom w:val="single" w:sz="4" w:space="0" w:color="808080"/>
              <w:right w:val="single" w:sz="4" w:space="0" w:color="808080"/>
            </w:tcBorders>
            <w:vAlign w:val="center"/>
          </w:tcPr>
          <w:p w14:paraId="69099CD8" w14:textId="77777777" w:rsidR="00C74EC0" w:rsidRDefault="00000000">
            <w:pPr>
              <w:spacing w:after="0"/>
            </w:pPr>
            <w:r>
              <w:rPr>
                <w:rFonts w:ascii="Arial" w:eastAsia="Arial" w:hAnsi="Arial" w:cs="Arial"/>
                <w:sz w:val="17"/>
              </w:rPr>
              <w:t>Other branches such as ECE and CSE can be added through additional roles and data conditions without redesigning the overall approach. The same pattern can protect other tables containing sensitive information. Roles may be assigned to groups instead of individual users, and the ACL configuration can be packaged as a scoped application or update set for movement between instances. Server-side ACL evaluation supports large record volumes.</w:t>
            </w:r>
          </w:p>
        </w:tc>
      </w:tr>
    </w:tbl>
    <w:p w14:paraId="28EBD593" w14:textId="77777777" w:rsidR="00AB7A8F" w:rsidRDefault="00AB7A8F"/>
    <w:sectPr w:rsidR="00AB7A8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EC0"/>
    <w:rsid w:val="00014B26"/>
    <w:rsid w:val="007D209F"/>
    <w:rsid w:val="00AB7A8F"/>
    <w:rsid w:val="00C74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BE14"/>
  <w15:docId w15:val="{81FAEAFC-B321-4686-B747-B9AF7059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Srinivasan K S</dc:creator>
  <cp:keywords/>
  <cp:lastModifiedBy>Aaditya Srinivasan K S</cp:lastModifiedBy>
  <cp:revision>2</cp:revision>
  <dcterms:created xsi:type="dcterms:W3CDTF">2026-10-05T12:57:00Z</dcterms:created>
  <dcterms:modified xsi:type="dcterms:W3CDTF">2026-10-05T12:57:00Z</dcterms:modified>
</cp:coreProperties>
</file>