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Informative Demand Uncertainty Changes but Does Not Improve a Reinforcement-Learning Metro Dispatch Controller: A Pre-Registered, Placebo-Controlled Evaluation</w:t>
      </w:r>
    </w:p>
    <w:p/>
    <w:p>
      <w:r>
        <w:t xml:space="preserve">Ragul A · Raksith N P · Pedakolimi Chandra Arjun</w:t>
      </w:r>
    </w:p>
    <w:p/>
    <w:p>
      <w:r>
        <w:t xml:space="preserve">Supervisor: Dr M N Kavitha</w:t>
      </w:r>
    </w:p>
    <w:p/>
    <w:p>
      <w:r>
        <w:t xml:space="preserve">Affiliations: [AUTHOR AFFILIATION TO BE CONFIRMED]</w:t>
      </w:r>
    </w:p>
    <w:p/>
    <w:p>
      <w:r>
        <w:t xml:space="preserve">Manuscript generated by scripts/build_manuscript.py on 2026-08-28 from stored artefacts at commit 4dec2d835e8c. Every experimental value is read from a result file at render time.</w:t>
      </w:r>
    </w:p>
    <w:p/>
    <w:p/>
    <w:p/>
    <w:p>
      <w:pPr>
        <w:pStyle w:val="Heading2"/>
      </w:pPr>
      <w:r>
        <w:t xml:space="preserve">Abstract</w:t>
      </w:r>
    </w:p>
    <w:p/>
    <w:p>
      <w:r>
        <w:t xml:space="preserve">Problem. Metro operators decide repeatedly, under time pressure, how many trainsets to release into revenue service. Releasing too few strands passengers; releasing too many raises energy and crew cost. Demand is known only through a forecast, and a common assumption is that supplying a learned controller with a calibrated measure of forecast uncertainty should improve its decisions. That assumption is rarely tested against a control capable of separating the information in the uncertainty signal from the mere presence of additional inputs.</w:t>
      </w:r>
    </w:p>
    <w:p/>
    <w:p>
      <w:r>
        <w:t xml:space="preserve">Method. We evaluate a maskable proximal-policy-optimisation controller for metro train induction [schulman2017] in a demand-driven simulation environment built from real ridership records. Three arms share identical architecture, parameter count, observation dimensionality, reward, training budget, training seeds and evaluation days, and differ only in the content of a two-value uncertainty channel: identically zero (point forecast), a shuffled placebo with the same marginal distribution but no association with realised forecast error, or the calibrated forecast dispersion. A fixed timetable, a tuned threshold heuristic, and static and rolling-horizon mixed-integer formulations serve as baselines.</w:t>
      </w:r>
    </w:p>
    <w:p/>
    <w:p>
      <w:r>
        <w:t xml:space="preserve">Design. The primary endpoint, the analysis plan and the sample size were registered before the confirmatory runs, with the training seed as the unit of analysis. 10 training seeds were evaluated on 30 held-out days across four scenario families, yielding 6,480 registered episodes and 7,610 stored evaluation cells in total. Common random numbers were enforced structurally.</w:t>
      </w:r>
    </w:p>
    <w:p/>
    <w:p>
      <w:r>
        <w:t xml:space="preserve">Primary result. Across n = 10 training seeds under the surge scenario, the uncertainty-aware arm left more passengers behind than the point-forecast arm: 0.031681 versus 0.017939, a difference of +0.013742 (Hodges–Lehmann 0.013588; 95% BCa confidence interval [0.006570, 0.018523]; Holm-adjusted p = 0.007741). It was also worse than the placebo arm (+0.008525; 95% BCa CI [0.002813, 0.014461]; Holm-adjusted p = 0.011707), so the degradation is not attributable to the additional input dimensions alone. The registered hypothesis was therefore not supported.</w:t>
      </w:r>
    </w:p>
    <w:p/>
    <w:p>
      <w:r>
        <w:t xml:space="preserve">Mechanism. Analysis of stored per-epoch records shows that the calibrated uncertainty signal is associated with approximately 11% fewer dispatches under surge (-24.7 inductions per episode; p = 9.6e-06), whereas the placebo signal is not (+1.9; p = 0.20). Measured service loss in the environment is strongly convex once capacity binds, so by the standard newsvendor argument [arrow1951] demand uncertainty is decision-relevant here and would motivate hedging upward. The tested controller moved in the opposite direction.</w:t>
      </w:r>
    </w:p>
    <w:p/>
    <w:p>
      <w:r>
        <w:t xml:space="preserve">Implication and limitation. The evidence is consistent with a policy-learning limitation rather than with uncertainty information being valueless: no learned arm outperformed the tuned threshold heuristic (0.01184 against 0.01794 for the best learned arm) in any scenario. The study used a single frozen training configuration and therefore cannot separate an information effect from a sample-efficiency effect; a registered training-budget follow-up remains incomplete. These results characterise the tested controller, configuration, budget, environment and scenarios. They do not establish that uncertainty-aware reinforcement learning is generally ineffective.</w:t>
      </w:r>
    </w:p>
    <w:p/>
    <w:p>
      <w:r>
        <w:t xml:space="preserve">Keywords: metro train induction; reinforcement learning; probabilistic demand forecasting; forecast uncertainty; placebo control; pre-registration; convex service loss; negative result; action masking; simulation-based evaluation</w:t>
      </w:r>
    </w:p>
    <w:p/>
    <w:p>
      <w:pPr>
        <w:pStyle w:val="Heading2"/>
      </w:pPr>
      <w:r>
        <w:t xml:space="preserve">1. Introduction</w:t>
      </w:r>
    </w:p>
    <w:p/>
    <w:p>
      <w:r>
        <w:t xml:space="preserve">Metro systems absorb demand that varies sharply within the day and irregularly between days. Train induction — the decision of how many trainsets to release into revenue service in each control interval — sits directly on the trade-off between passenger service and operating resources. Releasing too few trainsets leaves passengers unable to board; releasing too many raises energy and crew cost without commensurate service benefit. Because demand is known only through a forecast, the decision is made under uncertainty [yin2016].</w:t>
      </w:r>
    </w:p>
    <w:p/>
    <w:p>
      <w:r>
        <w:t xml:space="preserve">Classical treatments of railway rescheduling formulate the problem as a mathematical program and re-solve it as conditions change [cacchiani2014; yin2017]. Reinforcement learning has been proposed as an alternative for settings where re-optimisation is too slow for the minutes available to a controller [semrov2016; multitask_resched], and learned controllers have been applied to rail transit rescheduling and passenger inflow control [madrl_shortturn; inflow_control].</w:t>
      </w:r>
    </w:p>
    <w:p/>
    <w:p>
      <w:r>
        <w:t xml:space="preserve">In parallel, probabilistic demand forecasting has matured to the point where calibrated predictive intervals are routine rather than exceptional [uq_demand_gnn; uq_ridesourcing]. The natural conjunction — give the learned controller the uncertainty, not only the point forecast — is intuitive, and uncertainty-aware and risk-sensitive formulations are an active area [uq_review; clements2019].</w:t>
      </w:r>
    </w:p>
    <w:p/>
    <w:p>
      <w:r>
        <w:t xml:space="preserve">That conjunction is difficult to evaluate cleanly. An arm that receives an additional input differs from one that does not in more than the semantics of that input: it has a different input distribution, different first-layer parameters and a different optimisation landscape. A measured difference is therefore consistent with three explanations — the uncertainty information itself, the additional dimensionality, or seed-to-seed variation in training, the last of which is well documented in deep reinforcement learning [henderson2018; colas2018].</w:t>
      </w:r>
    </w:p>
    <w:p/>
    <w:p>
      <w:r>
        <w:t xml:space="preserve">Research question. Does incorporating calibrated demand uncertainty into a PPO-based metro dispatch controller improve passenger-service performance under stochastic and capacity-binding demand, relative to a point-forecast controller and to controlled baselines?</w:t>
      </w:r>
    </w:p>
    <w:p/>
    <w:p>
      <w:r>
        <w:t xml:space="preserve">Hypothesis (registered). The uncertainty-aware controller reduces the fraction of passengers left behind under a demand-surge scenario, relative to an otherwise identical point-forecast controller.</w:t>
      </w:r>
    </w:p>
    <w:p/>
    <w:p>
      <w:r>
        <w:t xml:space="preserve">Design. We answer the question with a pre-registered, placebo-controlled experiment in which the uncertainty channel's content is the only manipulated variable, the training seed is the unit of analysis, and the analysis plan is fixed before the confirmatory runs.</w:t>
      </w:r>
    </w:p>
    <w:p/>
    <w:p>
      <w:r>
        <w:t xml:space="preserve">Contributions.</w:t>
      </w:r>
    </w:p>
    <w:p/>
    <w:p>
      <w:r>
        <w:t xml:space="preserve">1. A controlled metro-dispatch evaluation framework coupling probabilistic demand forecasting, an explicit uncertainty representation, a simulation environment and reinforcement learning, with classical and heuristic baselines evaluated under common random numbers.</w:t>
      </w:r>
    </w:p>
    <w:p>
      <w:r>
        <w:t xml:space="preserve">2. A controlled comparison between point forecasts and informative uncertainty using matched scenarios and a placebo uncertainty condition that holds dimensionality and marginal distribution fixed while removing information content.</w:t>
      </w:r>
    </w:p>
    <w:p>
      <w:r>
        <w:t xml:space="preserve">3. A statistically robust empirical finding that the tested uncertainty-aware controller performs worse than the point-forecast controller on the registered primary endpoint (+0.013742; Holm-adjusted p = 0.007741), reproduced in all four scenarios, in 9 of 10 training seeds, and in 12 of 12 sensitivity conditions.</w:t>
      </w:r>
    </w:p>
    <w:p>
      <w:r>
        <w:t xml:space="preserve">4. Mechanistic evidence linking genuine uncertainty to a more conservative dispatch response, together with a measured convex service-loss relationship that explains why such a response is costly in capacity-binding regimes.</w:t>
      </w:r>
    </w:p>
    <w:p>
      <w:r>
        <w:t xml:space="preserve">5. A reproducible evaluation framework with a frozen experiment registry, provenance-tracked figures and tables, and an audit trail sufficient to re-derive every reported number.</w:t>
      </w:r>
    </w:p>
    <w:p/>
    <w:p>
      <w:r>
        <w:t xml:space="preserve">We do not claim the framework is novel in its components; each is standard. What the study contributes is the control structure that makes the comparison interpretable, and the finding that structure produced.</w:t>
      </w:r>
    </w:p>
    <w:p/>
    <w:p>
      <w:pPr>
        <w:pStyle w:val="Heading2"/>
      </w:pPr>
      <w:r>
        <w:t xml:space="preserve">2. Related work</w:t>
      </w:r>
    </w:p>
    <w:p/>
    <w:p>
      <w:r>
        <w:t xml:space="preserve">Metro train scheduling and rescheduling. Real-time railway rescheduling has an established optimisation literature, surveyed by [cacchiani2014] and [trs_survey]. For metro systems specifically, [yin2017] formulate demand-oriented train scheduling as mixed-integer linear programs balancing energy efficiency against waiting time, and [yin2016] address rescheduling under uncertain, time-variant passenger demand using approximate dynamic programming. The latter is the closest prior treatment of demand uncertainty in metro scheduling; it differs from the present work in optimising an explicit model of the uncertainty rather than supplying uncertainty as an input to a learned controller.</w:t>
      </w:r>
    </w:p>
    <w:p/>
    <w:p>
      <w:r>
        <w:t xml:space="preserve">Reinforcement learning for transit scheduling and control. [semrov2016] apply Q-learning to train rescheduling on a single-track railway evaluated on a real network. More recent work applies deep and multi-agent reinforcement learning to real-time railway rescheduling [multitask_resched], to rail transit services with short-turnings under disruption [madrl_shortturn], and to coordinated passenger inflow control in peak hours [inflow_control]. The common motivation is that exact re-optimisation is too slow for the response times a dispatcher has. These studies generally report favourable performance for the learned controller; the present study is unusual in reporting a controlled negative result and in including classical baselines that outperform the learned arms.</w:t>
      </w:r>
    </w:p>
    <w:p/>
    <w:p>
      <w:r>
        <w:t xml:space="preserve">Uncertainty-aware and risk-sensitive decision making. Reviews of uncertainty in deep reinforcement learning distinguish aleatoric from epistemic uncertainty and survey estimation methods [uq_review]; risk-sensitive formulations replace expected return with tail-aware objectives [clements2019]. Our design differs in an important respect: we do not modify the objective or the algorithm. We hold the learner fixed and vary only what the observation carries, which isolates the value of the information rather than the value of a risk-sensitive method.</w:t>
      </w:r>
    </w:p>
    <w:p/>
    <w:p>
      <w:r>
        <w:t xml:space="preserve">Demand forecasting for transit. Uncertainty quantification for travel demand is well developed, including probabilistic graph neural networks [uq_demand_gnn] and mixture-of-expert models for multi-modal demand [uq_ridesourcing]. We use a quantile gradient-boosted forecaster; our forecasting contribution is calibration discipline and the freezing of the uncertainty definition before policy training, not model architecture.</w:t>
      </w:r>
    </w:p>
    <w:p/>
    <w:p>
      <w:r>
        <w:t xml:space="preserve">Convex loss under demand uncertainty. That a convex cost makes expected cost under stochastic demand exceed cost evaluated at expected demand is the classical newsvendor observation [arrow1951], extended to capacity and inventory networks by [vanmieghem2002]. We invoke this as established theory rather than deriving it, and connect it to the measured shape of service loss in our environment (Section 12).</w:t>
      </w:r>
    </w:p>
    <w:p/>
    <w:p>
      <w:r>
        <w:t xml:space="preserve">Simulation and digital twins for transit operations. Simulation-based evaluation of rail operations is widespread, and digital-twin approaches in rail have been reviewed systematically [dt_railway_review]. We use the term simulation environment rather than digital twin, because only a minority of our environment's quantities could be validated against published operating statistics (Section 5).</w:t>
      </w:r>
    </w:p>
    <w:p/>
    <w:p>
      <w:r>
        <w:t xml:space="preserve">Controlled and reproducible machine-learning experimentation. [henderson2018] document that random seeds alone can produce statistically distinguishable performance from identical code, and [colas2018] analyse how many seeds a deep reinforcement-learning comparison requires. These motivate our seed-level unit of analysis, our pre-registration, and our decision to report an underpowered design explicitly rather than aggregating episodes into an inflated sample size.</w:t>
      </w:r>
    </w:p>
    <w:p/>
    <w:p>
      <w:r>
        <w:t xml:space="preserve">&gt; Citation status. 6 of 18 references were verified in full (authors, title, venue, year and pages) during preparation. The remainder had title and venue verified, with the outstanding fields marked [REFERENCE VERIFICATION REQUIRED] in docs/references_final.md; these must be completed against the publisher record before submission. No reference was reconstructed from memory and no DOI is stated that was not observed.</w:t>
      </w:r>
    </w:p>
    <w:p/>
    <w:p>
      <w:pPr>
        <w:pStyle w:val="Heading2"/>
      </w:pPr>
      <w:r>
        <w:t xml:space="preserve">3. Problem formulation</w:t>
      </w:r>
    </w:p>
    <w:p/>
    <w:p>
      <w:r>
        <w:t xml:space="preserve">Consider a metro line operating over a service day divided into decision epochs t = 1, …, T. At each epoch the controller observes the state of the line and selects the number of trainsets a_t ∈ {0, …, k_max} to induct into service. Passengers arrive at stations according to a demand process, board subject to train capacity, and are left behind when capacity is exhausted.</w:t>
      </w:r>
    </w:p>
    <w:p/>
    <w:p>
      <w:r>
        <w:t xml:space="preserve">The operator's objective combines four terms — accumulated waiting, unmet demand, energy and operating cost — through the scalarised reward</w:t>
      </w:r>
    </w:p>
    <w:p/>
    <w:p>
      <w:r>
        <w:t xml:space="preserve">&amp;nbsp;&amp;nbsp;&amp;nbsp;&amp;nbsp;r_t = −( α·W_t + β·U_t + γ·E_t + δ·C_t )</w:t>
      </w:r>
    </w:p>
    <w:p/>
    <w:p>
      <w:r>
        <w:t xml:space="preserve">where W_t is the queue integral in passenger-minutes, U_t the count of distinct left-behind passengers, E_t energy and C_t operating cost, each normalised against reference scales fitted from the fixed-timetable baseline.</w:t>
      </w:r>
    </w:p>
    <w:p/>
    <w:p>
      <w:r>
        <w:t xml:space="preserve">The primary endpoint is the left_behind_fraction: distinct left-behind passengers as a fraction of arrivals over the service day. Lower is better. The primary scenario is surge, the condition under which capacity is most likely to bind.</w:t>
      </w:r>
    </w:p>
    <w:p/>
    <w:p>
      <w:r>
        <w:t xml:space="preserve">Feasibility — fleet availability, depot capacity and headway constraints — is enforced by action masking rather than reward penalties. A penalty makes constraint violation a tunable trade-off; masking makes it unrepresentable.</w:t>
      </w:r>
    </w:p>
    <w:p/>
    <w:p>
      <w:pPr>
        <w:pStyle w:val="Heading2"/>
      </w:pPr>
      <w:r>
        <w:t xml:space="preserve">4. Data and demand forecasting</w:t>
      </w:r>
    </w:p>
    <w:p/>
    <w:p>
      <w:pPr>
        <w:pStyle w:val="Heading3"/>
      </w:pPr>
      <w:r>
        <w:t xml:space="preserve">4.1 Data provenance and classification</w:t>
      </w:r>
    </w:p>
    <w:p/>
    <w:p>
      <w:r>
        <w:t xml:space="preserve">We distinguish four categories throughout, because conflating them is the most common way a simulation study overstates its external validity:</w:t>
      </w:r>
    </w:p>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tcPr>
          <w:p>
            <w:r>
              <w:t xml:space="preserve">Category</w:t>
            </w:r>
          </w:p>
        </w:tc>
        <w:tc>
          <w:tcPr>
            <w:tcW w:w="0" w:type="auto"/>
          </w:tcPr>
          <w:p>
            <w:r>
              <w:t xml:space="preserve">In this study</w:t>
            </w:r>
          </w:p>
        </w:tc>
      </w:tr>
      <w:tr>
        <w:tc>
          <w:tcPr>
            <w:tcW w:w="0" w:type="auto"/>
          </w:tcPr>
          <w:p>
            <w:r>
              <w:t xml:space="preserve">Real data</w:t>
            </w:r>
          </w:p>
        </w:tc>
        <w:tc>
          <w:tcPr>
            <w:tcW w:w="0" w:type="auto"/>
          </w:tcPr>
          <w:p>
            <w:r>
              <w:t xml:space="preserve">Metro station-level ridership records, with dataset manifests and licence files recorded before use</w:t>
            </w:r>
          </w:p>
        </w:tc>
      </w:tr>
      <w:tr>
        <w:tc>
          <w:tcPr>
            <w:tcW w:w="0" w:type="auto"/>
          </w:tcPr>
          <w:p>
            <w:r>
              <w:t xml:space="preserve">Derived data</w:t>
            </w:r>
          </w:p>
        </w:tc>
        <w:tc>
          <w:tcPr>
            <w:tcW w:w="0" w:type="auto"/>
          </w:tcPr>
          <w:p>
            <w:r>
              <w:t xml:space="preserve">Supervised forecasting features and targets constructed from the real records</w:t>
            </w:r>
          </w:p>
        </w:tc>
      </w:tr>
      <w:tr>
        <w:tc>
          <w:tcPr>
            <w:tcW w:w="0" w:type="auto"/>
          </w:tcPr>
          <w:p>
            <w:r>
              <w:t xml:space="preserve">Synthetic data</w:t>
            </w:r>
          </w:p>
        </w:tc>
        <w:tc>
          <w:tcPr>
            <w:tcW w:w="0" w:type="auto"/>
          </w:tcPr>
          <w:p>
            <w:r>
              <w:t xml:space="preserve">The origin–destination distribution (assumption A03); passenger balking and patience behaviour</w:t>
            </w:r>
          </w:p>
        </w:tc>
      </w:tr>
      <w:tr>
        <w:tc>
          <w:tcPr>
            <w:tcW w:w="0" w:type="auto"/>
          </w:tcPr>
          <w:p>
            <w:r>
              <w:t xml:space="preserve">Simulated data</w:t>
            </w:r>
          </w:p>
        </w:tc>
        <w:tc>
          <w:tcPr>
            <w:tcW w:w="0" w:type="auto"/>
          </w:tcPr>
          <w:p>
            <w:r>
              <w:t xml:space="preserve">All operational outcomes — queues, boardings, left-behind counts, energy and cost — produced by the simulation environment</w:t>
            </w:r>
          </w:p>
        </w:tc>
      </w:tr>
    </w:tbl>
    <w:p/>
    <w:p/>
    <w:p>
      <w:r>
        <w:t xml:space="preserve">No operational outcome reported in this paper is a real-world measurement.</w:t>
      </w:r>
    </w:p>
    <w:p/>
    <w:p>
      <w:pPr>
        <w:pStyle w:val="Heading3"/>
      </w:pPr>
      <w:r>
        <w:t xml:space="preserve">4.2 Splits</w:t>
      </w:r>
    </w:p>
    <w:p/>
    <w:p>
      <w:r>
        <w:t xml:space="preserve">Splits are chronological with a 7-day embargo between them: training 2024-01-01 to 2025-10-20, validation 2025-10-28 to 2026-03-23, test 2026-03-31 to 2026-08-13. The embargo exists because adjacent hours are strongly autocorrelated; without it a validation row can be nearly a copy of a training row and the split stops measuring generalisation.</w:t>
      </w:r>
    </w:p>
    <w:p/>
    <w:p>
      <w:r>
        <w:t xml:space="preserve">Row counts: 1,338,779 raw station-hours, 5,749 excluded by quality screens, and 1,126,584 / 254,016 / 235,008 supervised training / validation / test examples (Table 1).</w:t>
      </w:r>
    </w:p>
    <w:p/>
    <w:p>
      <w:r>
        <w:t xml:space="preserve">Regime screen. A pre-registered screen sought a run of at least 365 days with year-on-year growth within ±10%. No such run exists in these data; the longest qualifying run was 278 days, so the configured start date was used. This is recorded as a finding rather than applied as a silent default, and all conclusions inherit whatever regime instability remains.</w:t>
      </w:r>
    </w:p>
    <w:p/>
    <w:p>
      <w:pPr>
        <w:pStyle w:val="Heading3"/>
      </w:pPr>
      <w:r>
        <w:t xml:space="preserve">4.3 Forecasting</w:t>
      </w:r>
    </w:p>
    <w:p/>
    <w:p>
      <w:r>
        <w:t xml:space="preserve">A quantile gradient-boosted model produces median and quantile forecasts of station-level demand (configuration hash a976a2d6a212b935). The observed quantile crossing rate is 0.084767 (Table 2). Model artefacts are promoted to trusted status only after the complete stored forecast output — median and dispersion — reproduces against a reference fit; verifying the median alone would allow a model with a broken uncertainty head to pass, and the uncertainty head is precisely what the hypothesis depends on.</w:t>
      </w:r>
    </w:p>
    <w:p/>
    <w:p>
      <w:pPr>
        <w:pStyle w:val="Heading2"/>
      </w:pPr>
      <w:r>
        <w:t xml:space="preserve">5. Metro simulation environment</w:t>
      </w:r>
    </w:p>
    <w:p/>
    <w:p>
      <w:r>
        <w:t xml:space="preserve">The environment couples a demand process, rolling-stock and headway constraints, capacity-limited boarding with queue dynamics, and the multi-objective reward of Section 3. An episode is one service day of decision epochs; state transitions advance train positions, board and alight passengers, accumulate queues and record failures.</w:t>
      </w:r>
    </w:p>
    <w:p/>
    <w:p>
      <w:r>
        <w:t xml:space="preserve">Validation status across 14 quantities: 4 validated, 3 partially validated, 7 not validatable, 0 mismatch (Table 3).</w:t>
      </w:r>
    </w:p>
    <w:p/>
    <w:p>
      <w:r>
        <w:t xml:space="preserve">We describe this as a simulation environment, not a validated digital twin. The quantities validated against published operating statistics — running time, round trips per day, minimum headway, weekday boardings — constrain the supply side. Of the quantities that could not be validated, four are direct inputs to the crowding side that the primary endpoint measures: Train capacity / peak occupancy, Station dwell-time distribution, Passenger waiting behaviour (balking, patience), Origin-destination distribution.</w:t>
      </w:r>
    </w:p>
    <w:p/>
    <w:p>
      <w:r>
        <w:t xml:space="preserve">Consequence, stated once and applied throughout: the ordering of methods within the environment is internally valid, because all methods face identical conditions under common random numbers. The magnitudes are simulator-internal and must not be read as predictions about a physical metro system.</w:t>
      </w:r>
    </w:p>
    <w:p/>
    <w:p>
      <w:pPr>
        <w:pStyle w:val="Heading2"/>
      </w:pPr>
      <w:r>
        <w:t xml:space="preserve">6. Uncertainty representation and the placebo control</w:t>
      </w:r>
    </w:p>
    <w:p/>
    <w:p>
      <w:r>
        <w:t xml:space="preserve">Forecast uncertainty in this study means the dispersion of the predictive distribution of near-term demand, summarised as</w:t>
      </w:r>
    </w:p>
    <w:p/>
    <w:p>
      <w:r>
        <w:t xml:space="preserve">&amp;nbsp;&amp;nbsp;&amp;nbsp;&amp;nbsp;σ = (q90 − q10) / (2 × 1.2816)</w:t>
      </w:r>
    </w:p>
    <w:p/>
    <w:p>
      <w:r>
        <w:t xml:space="preserve">the normal-equivalent standard deviation implied by the 10th and 90th forecast quantiles. This definition was frozen before any policy was trained, so no controller can influence the uncertainty signal it receives.</w:t>
      </w:r>
    </w:p>
    <w:p/>
    <w:p>
      <w:r>
        <w:t xml:space="preserve">Every arm carries the same two-value uncertainty channel and the same parameter count. The arms differ only in that channel's content:</w:t>
      </w:r>
    </w:p>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tcPr>
          <w:p>
            <w:r>
              <w:t xml:space="preserve">Arm</w:t>
            </w:r>
          </w:p>
        </w:tc>
        <w:tc>
          <w:tcPr>
            <w:tcW w:w="0" w:type="auto"/>
          </w:tcPr>
          <w:p>
            <w:r>
              <w:t xml:space="preserve">Channel content</w:t>
            </w:r>
          </w:p>
        </w:tc>
      </w:tr>
      <w:tr>
        <w:tc>
          <w:tcPr>
            <w:tcW w:w="0" w:type="auto"/>
          </w:tcPr>
          <w:p>
            <w:r>
              <w:t xml:space="preserve">ppo_point</w:t>
            </w:r>
          </w:p>
        </w:tc>
        <w:tc>
          <w:tcPr>
            <w:tcW w:w="0" w:type="auto"/>
          </w:tcPr>
          <w:p>
            <w:r>
              <w:t xml:space="preserve">Identically zero</w:t>
            </w:r>
          </w:p>
        </w:tc>
      </w:tr>
      <w:tr>
        <w:tc>
          <w:tcPr>
            <w:tcW w:w="0" w:type="auto"/>
          </w:tcPr>
          <w:p>
            <w:r>
              <w:t xml:space="preserve">ppo_placebo</w:t>
            </w:r>
          </w:p>
        </w:tc>
        <w:tc>
          <w:tcPr>
            <w:tcW w:w="0" w:type="auto"/>
          </w:tcPr>
          <w:p>
            <w:r>
              <w:t xml:space="preserve">σ values shuffled across time, preserving the marginal distribution while destroying association with realised forecast error</w:t>
            </w:r>
          </w:p>
        </w:tc>
      </w:tr>
      <w:tr>
        <w:tc>
          <w:tcPr>
            <w:tcW w:w="0" w:type="auto"/>
          </w:tcPr>
          <w:p>
            <w:r>
              <w:t xml:space="preserve">ppo_uq</w:t>
            </w:r>
          </w:p>
        </w:tc>
        <w:tc>
          <w:tcPr>
            <w:tcW w:w="0" w:type="auto"/>
          </w:tcPr>
          <w:p>
            <w:r>
              <w:t xml:space="preserve">The calibrated forecast dispersion σ</w:t>
            </w:r>
          </w:p>
        </w:tc>
      </w:tr>
    </w:tbl>
    <w:p/>
    <w:p/>
    <w:p>
      <w:r>
        <w:t xml:space="preserve">Why the placebo matters. If merely having the channel changed behaviour — through dimensionality, input scaling or optimisation dynamics — the placebo arm would move with the uncertainty arm. Divergence between them is attributable to σ being informative. This does not identify the internal computation that produces the behaviour; it identifies that the behaviour depends on the information content of the input.</w:t>
      </w:r>
    </w:p>
    <w:p/>
    <w:p>
      <w:pPr>
        <w:pStyle w:val="Heading2"/>
      </w:pPr>
      <w:r>
        <w:t xml:space="preserve">7. Reinforcement-learning framework</w:t>
      </w:r>
    </w:p>
    <w:p/>
    <w:p>
      <w:r>
        <w:t xml:space="preserve">- State. A 123-value summary comprising station queues, rolling-stock availability, clock features, forecast median and the two-value uncertainty channel. The availability ablation removes the availability block, leaving 121 values.</w:t>
      </w:r>
    </w:p>
    <w:p>
      <w:r>
        <w:t xml:space="preserve">- Action. The number of trainsets to induct in the current epoch, a_t ∈ {0, …, k_max}.</w:t>
      </w:r>
    </w:p>
    <w:p>
      <w:r>
        <w:t xml:space="preserve">- Reward. As in Section 3.</w:t>
      </w:r>
    </w:p>
    <w:p>
      <w:r>
        <w:t xml:space="preserve">- Constraints. Enforced by action masking.</w:t>
      </w:r>
    </w:p>
    <w:p>
      <w:r>
        <w:t xml:space="preserve">- Algorithm. Maskable PPO [schulman2017], one frozen hyperparameter configuration applied unchanged to every arm.</w:t>
      </w:r>
    </w:p>
    <w:p/>
    <w:p>
      <w:r>
        <w:t xml:space="preserve">No hyperparameter search was conducted. A single documented configuration is applied to all arms. This is a deliberate symmetry constraint: a search conducted on one arm risks selecting a configuration that suits that arm's input, which would be an asymmetry in the comparison. The cost is that all arms may be jointly suboptimal, which bounds any claim about absolute policy quality. Section 16 treats this as the study's principal limitation.</w:t>
      </w:r>
    </w:p>
    <w:p/>
    <w:p>
      <w:r>
        <w:t xml:space="preserve">Reproducibility of training. Each worker is pinned to a single compute thread, because floating-point reduction order varies with thread count and would otherwise make runs irreproducible. Training days are drawn from a seed pool disjoint from every evaluation, scaler-fitting, tuning and calibration pool (Section 9).</w:t>
      </w:r>
    </w:p>
    <w:p/>
    <w:p>
      <w:r>
        <w:t xml:space="preserve">Full PPO configuration values are reproduced in Supplementary Material S2 from the stored policy metadata.</w:t>
      </w:r>
    </w:p>
    <w:p/>
    <w:p>
      <w:pPr>
        <w:pStyle w:val="Heading2"/>
      </w:pPr>
      <w:r>
        <w:t xml:space="preserve">8. Baseline methods</w:t>
      </w:r>
    </w:p>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tcPr>
          <w:p>
            <w:r>
              <w:t xml:space="preserve">Baseline</w:t>
            </w:r>
          </w:p>
        </w:tc>
        <w:tc>
          <w:tcPr>
            <w:tcW w:w="0" w:type="auto"/>
          </w:tcPr>
          <w:p>
            <w:r>
              <w:t xml:space="preserve">Description</w:t>
            </w:r>
          </w:p>
        </w:tc>
        <w:tc>
          <w:tcPr>
            <w:tcW w:w="0" w:type="auto"/>
          </w:tcPr>
          <w:p>
            <w:r>
              <w:t xml:space="preserve">Information received</w:t>
            </w:r>
          </w:p>
        </w:tc>
      </w:tr>
      <w:tr>
        <w:tc>
          <w:tcPr>
            <w:tcW w:w="0" w:type="auto"/>
          </w:tcPr>
          <w:p>
            <w:r>
              <w:t xml:space="preserve">Fixed timetable</w:t>
            </w:r>
          </w:p>
        </w:tc>
        <w:tc>
          <w:tcPr>
            <w:tcW w:w="0" w:type="auto"/>
          </w:tcPr>
          <w:p>
            <w:r>
              <w:t xml:space="preserve">A published-style timetable executed without adaptation</w:t>
            </w:r>
          </w:p>
        </w:tc>
        <w:tc>
          <w:tcPr>
            <w:tcW w:w="0" w:type="auto"/>
          </w:tcPr>
          <w:p>
            <w:r>
              <w:t xml:space="preserve">Clock only</w:t>
            </w:r>
          </w:p>
        </w:tc>
      </w:tr>
      <w:tr>
        <w:tc>
          <w:tcPr>
            <w:tcW w:w="0" w:type="auto"/>
          </w:tcPr>
          <w:p>
            <w:r>
              <w:t xml:space="preserve">Threshold heuristic</w:t>
            </w:r>
          </w:p>
        </w:tc>
        <w:tc>
          <w:tcPr>
            <w:tcW w:w="0" w:type="auto"/>
          </w:tcPr>
          <w:p>
            <w:r>
              <w:t xml:space="preserve">Induct when queue or forecast exceeds a tuned threshold</w:t>
            </w:r>
          </w:p>
        </w:tc>
        <w:tc>
          <w:tcPr>
            <w:tcW w:w="0" w:type="auto"/>
          </w:tcPr>
          <w:p>
            <w:r>
              <w:t xml:space="preserve">Queue, forecast median</w:t>
            </w:r>
          </w:p>
        </w:tc>
      </w:tr>
      <w:tr>
        <w:tc>
          <w:tcPr>
            <w:tcW w:w="0" w:type="auto"/>
          </w:tcPr>
          <w:p>
            <w:r>
              <w:t xml:space="preserve">MILP (static)</w:t>
            </w:r>
          </w:p>
        </w:tc>
        <w:tc>
          <w:tcPr>
            <w:tcW w:w="0" w:type="auto"/>
          </w:tcPr>
          <w:p>
            <w:r>
              <w:t xml:space="preserve">Mixed-integer program solved once per day against a fluid-queue surrogate</w:t>
            </w:r>
          </w:p>
        </w:tc>
        <w:tc>
          <w:tcPr>
            <w:tcW w:w="0" w:type="auto"/>
          </w:tcPr>
          <w:p>
            <w:r>
              <w:t xml:space="preserve">Forecast median</w:t>
            </w:r>
          </w:p>
        </w:tc>
      </w:tr>
      <w:tr>
        <w:tc>
          <w:tcPr>
            <w:tcW w:w="0" w:type="auto"/>
          </w:tcPr>
          <w:p>
            <w:r>
              <w:t xml:space="preserve">MILP (rolling)</w:t>
            </w:r>
          </w:p>
        </w:tc>
        <w:tc>
          <w:tcPr>
            <w:tcW w:w="0" w:type="auto"/>
          </w:tcPr>
          <w:p>
            <w:r>
              <w:t xml:space="preserve">The same formulation re-solved on a rolling horizon</w:t>
            </w:r>
          </w:p>
        </w:tc>
        <w:tc>
          <w:tcPr>
            <w:tcW w:w="0" w:type="auto"/>
          </w:tcPr>
          <w:p>
            <w:r>
              <w:t xml:space="preserve">Forecast median, updated state</w:t>
            </w:r>
          </w:p>
        </w:tc>
      </w:tr>
    </w:tbl>
    <w:p/>
    <w:p/>
    <w:p>
      <w:r>
        <w:t xml:space="preserve">A baseline fairness audit of 19 checks passes 19 with 0 blocking failures. Its sharpest check steps three methods through an identical action sequence and asserts identical arrivals and queues, which would detect a common-random-number desynchronisation between methods.</w:t>
      </w:r>
    </w:p>
    <w:p/>
    <w:p>
      <w:r>
        <w:t xml:space="preserve">Two aspects of baseline preparation are disclosed because they bear on fairness. The heuristic was retuned after its optimum was found at the edge of its search grid; a boundary optimum is not an optimum, so the grid was extended under a recorded amendment until the selection was interior, and every affected result was recomputed rather than mixed with the corrected baseline. The MILP surrogate was corrected four times — a standing-queue floor, removal of an unjustified monotonicity clamp, a dispatch-capacity envelope, and earlier service-rate and waiting-coefficient fixes. Each correction strengthened a competitor to the proposed method. A fifth was declined: the fluid-queue surrogate structurally cannot represent departure spacing, and continuing would have meant authoring a baseline rather than calibrating one.</w:t>
      </w:r>
    </w:p>
    <w:p/>
    <w:p>
      <w:r>
        <w:t xml:space="preserve">The resulting effort asymmetry — four baseline revisions against one untuned, frozen learned configuration — runs against the proposed method, and readers are entitled to weigh it in both directions.</w:t>
      </w:r>
    </w:p>
    <w:p/>
    <w:p>
      <w:pPr>
        <w:pStyle w:val="Heading2"/>
      </w:pPr>
      <w:r>
        <w:t xml:space="preserve">9. Experimental design</w:t>
      </w:r>
    </w:p>
    <w:p/>
    <w:p>
      <w:r>
        <w:t xml:space="preserve">- Unit of analysis: training seed (protocol section 8.2); episode-level n is never reported as the sample size</w:t>
      </w:r>
    </w:p>
    <w:p>
      <w:r>
        <w:t xml:space="preserve">- Registered sample size: 10 training seeds × 30 evaluation seeds × 4 scenarios</w:t>
      </w:r>
    </w:p>
    <w:p>
      <w:r>
        <w:t xml:space="preserve">- Registered episodes: 6,480, reducing to 216 seed-level observations</w:t>
      </w:r>
    </w:p>
    <w:p>
      <w:r>
        <w:t xml:space="preserve">- Stored evaluation cells: 7,610</w:t>
      </w:r>
    </w:p>
    <w:p>
      <w:r>
        <w:t xml:space="preserve">- Trained confirmatory policies: 50 (plus 8 pilot policies, discarded)</w:t>
      </w:r>
    </w:p>
    <w:p>
      <w:r>
        <w:t xml:space="preserve">- Registered experiments: 17, in a frozen registry</w:t>
      </w:r>
    </w:p>
    <w:p/>
    <w:p>
      <w:r>
        <w:t xml:space="preserve">Evidence classes. The study separates four, and the separation is structural rather than editorial — each stored cell carries a variant field that the analysis filters on:</w:t>
      </w:r>
    </w:p>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tcPr>
          <w:p>
            <w:r>
              <w:t xml:space="preserve">Class</w:t>
            </w:r>
          </w:p>
        </w:tc>
        <w:tc>
          <w:tcPr>
            <w:tcW w:w="0" w:type="auto"/>
          </w:tcPr>
          <w:p>
            <w:r>
              <w:t xml:space="preserve">Role</w:t>
            </w:r>
          </w:p>
        </w:tc>
      </w:tr>
      <w:tr>
        <w:tc>
          <w:tcPr>
            <w:tcW w:w="0" w:type="auto"/>
          </w:tcPr>
          <w:p>
            <w:r>
              <w:t xml:space="preserve">Pilot</w:t>
            </w:r>
          </w:p>
        </w:tc>
        <w:tc>
          <w:tcPr>
            <w:tcW w:w="0" w:type="auto"/>
          </w:tcPr>
          <w:p>
            <w:r>
              <w:t xml:space="preserve">Four seeds used only to estimate the between-seed standard deviation for the power gate. Policies discarded; no pilot observation enters any reported result</w:t>
            </w:r>
          </w:p>
        </w:tc>
      </w:tr>
      <w:tr>
        <w:tc>
          <w:tcPr>
            <w:tcW w:w="0" w:type="auto"/>
          </w:tcPr>
          <w:p>
            <w:r>
              <w:t xml:space="preserve">Confirmatory</w:t>
            </w:r>
          </w:p>
        </w:tc>
        <w:tc>
          <w:tcPr>
            <w:tcW w:w="0" w:type="auto"/>
          </w:tcPr>
          <w:p>
            <w:r>
              <w:t xml:space="preserve">Exactly two registered tests, Holm-corrected at family-wise α = 0.05</w:t>
            </w:r>
          </w:p>
        </w:tc>
      </w:tr>
      <w:tr>
        <w:tc>
          <w:tcPr>
            <w:tcW w:w="0" w:type="auto"/>
          </w:tcPr>
          <w:p>
            <w:r>
              <w:t xml:space="preserve">Exploratory</w:t>
            </w:r>
          </w:p>
        </w:tc>
        <w:tc>
          <w:tcPr>
            <w:tcW w:w="0" w:type="auto"/>
          </w:tcPr>
          <w:p>
            <w:r>
              <w:t xml:space="preserve">Hypothesis-generating; Benjamini–Hochberg at q = 0.10; supports no claim in the abstract</w:t>
            </w:r>
          </w:p>
        </w:tc>
      </w:tr>
      <w:tr>
        <w:tc>
          <w:tcPr>
            <w:tcW w:w="0" w:type="auto"/>
          </w:tcPr>
          <w:p>
            <w:r>
              <w:t xml:space="preserve">Follow-up</w:t>
            </w:r>
          </w:p>
        </w:tc>
        <w:tc>
          <w:tcPr>
            <w:tcW w:w="0" w:type="auto"/>
          </w:tcPr>
          <w:p>
            <w:r>
              <w:t xml:space="preserve">A registered training-budget study, incomplete; contributes no evidence (Section 16)</w:t>
            </w:r>
          </w:p>
        </w:tc>
      </w:tr>
    </w:tbl>
    <w:p/>
    <w:p/>
    <w:p>
      <w:r>
        <w:t xml:space="preserve">Common random numbers. The function constructing an environment's random streams takes the scenario and evaluation seed and no method argument, so two methods evaluated at the same seed cannot receive different demand realisations. This is a property of the implementation, not a convention a later edit could silently break.</w:t>
      </w:r>
    </w:p>
    <w:p/>
    <w:p>
      <w:r>
        <w:t xml:space="preserve">Seed pools, all mutually disjoint so that nothing is fitted on a day the comparison is later scored on: evaluation [1, 30]; training [101, 110]; pilot training [901, 904]; pilot evaluation [41, 50]; scaler fitting [1001, 1020]; heuristic tuning [2001, 2006]; surrogate calibration [3001, 3004].</w:t>
      </w:r>
    </w:p>
    <w:p/>
    <w:p>
      <w:r>
        <w:t xml:space="preserve">Pre-registration. The registry was frozen after the power gate fixed the sample size and before the first confirmatory run. The sweep and ablation stages refuse to execute against an unfrozen registry, making the freeze a precondition of the code rather than a promise in a document.</w:t>
      </w:r>
    </w:p>
    <w:p/>
    <w:p>
      <w:r>
        <w:t xml:space="preserve">Sample size and power. A four-seed pilot on disjoint seeds estimated the between-seed standard deviation of the paired difference at 0.005298. Detecting the registered smallest effect size of interest (SESOI = 0.002) at 80% power would require n = 69, beyond the available compute. The registered design proceeded at n = 10 with the underpowering stated in advance.</w:t>
      </w:r>
    </w:p>
    <w:p/>
    <w:p>
      <w:r>
        <w:t xml:space="preserve">The pilot variance estimate proved too small, and we report the correction rather than the planning figure. The realised standard deviation of the confirmatory paired differences is 0.011269, 2.13× the pilot estimate. Four seeds is a thin basis for a variance estimate. Consequently the registered minimum detectable effect of 0.005909 is optimistic, and we do not use it to support the conclusion. No post-hoc power argument is made: once a test has rejected, observed power is a deterministic function of the p-value and adds nothing. The study remains underpowered for its own SESOI, so every null reported here is inconclusive rather than evidence of equivalence.</w:t>
      </w:r>
    </w:p>
    <w:p/>
    <w:p>
      <w:pPr>
        <w:pStyle w:val="Heading2"/>
      </w:pPr>
      <w:r>
        <w:t xml:space="preserve">10. Statistical analysis</w:t>
      </w:r>
    </w:p>
    <w:p/>
    <w:p>
      <w:r>
        <w:t xml:space="preserve">The analysis plan was fixed before the confirmatory runs.</w:t>
      </w:r>
    </w:p>
    <w:p/>
    <w:p>
      <w:r>
        <w:t xml:space="preserve">- Unit. Episode outcomes are averaged to one observation per training seed before any test. The sample size is the number of seeds, never the number of episodes; reporting the latter would inflate precision by more than an order of magnitude.</w:t>
      </w:r>
    </w:p>
    <w:p>
      <w:r>
        <w:t xml:space="preserve">- Confirmatory family. Exactly two tests, Holm-corrected at family-wise α = 0.05.</w:t>
      </w:r>
    </w:p>
    <w:p>
      <w:r>
        <w:t xml:space="preserve">- Exploratory family. Benjamini–Hochberg at q = 0.10.</w:t>
      </w:r>
    </w:p>
    <w:p>
      <w:r>
        <w:t xml:space="preserve">- Test selection. Paired t-test where Shapiro–Wilk on the differences does not reject at 0.05 (here p = 0.6026); Wilcoxon signed-rank otherwise. Both are reported for the primary comparison.</w:t>
      </w:r>
    </w:p>
    <w:p>
      <w:r>
        <w:t xml:space="preserve">- Effect estimation. Hodges–Lehmann estimator with bias-corrected and accelerated (BCa) bootstrap confidence intervals.</w:t>
      </w:r>
    </w:p>
    <w:p>
      <w:r>
        <w:t xml:space="preserve">- Equivalence. Two one-sided tests against the registered SESOI, run only when the primary test fails to reject — which distinguishes no evidence of benefit from evidence of no meaningful benefit. The primary test rejected, so no equivalence test applies here.</w:t>
      </w:r>
    </w:p>
    <w:p/>
    <w:p>
      <w:pPr>
        <w:pStyle w:val="Heading2"/>
      </w:pPr>
      <w:r>
        <w:t xml:space="preserve">11. Results</w:t>
      </w:r>
    </w:p>
    <w:p/>
    <w:p>
      <w:pPr>
        <w:pStyle w:val="Heading3"/>
      </w:pPr>
      <w:r>
        <w:t xml:space="preserve">11.1 Method ranking</w:t>
      </w:r>
    </w:p>
    <w:p/>
    <w:p>
      <w:r>
        <w:t xml:space="preserve">We report the full ranking first, because it constrains how everything else should be read (Table 4, Figure 10).</w:t>
      </w:r>
    </w:p>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tcPr>
          <w:p>
            <w:r>
              <w:t xml:space="preserve">Method</w:t>
            </w:r>
          </w:p>
        </w:tc>
        <w:tc>
          <w:tcPr>
            <w:tcW w:w="0" w:type="auto"/>
          </w:tcPr>
          <w:p>
            <w:r>
              <w:t xml:space="preserve">normal</w:t>
            </w:r>
          </w:p>
        </w:tc>
        <w:tc>
          <w:tcPr>
            <w:tcW w:w="0" w:type="auto"/>
          </w:tcPr>
          <w:p>
            <w:r>
              <w:t xml:space="preserve">surge</w:t>
            </w:r>
          </w:p>
        </w:tc>
        <w:tc>
          <w:tcPr>
            <w:tcW w:w="0" w:type="auto"/>
          </w:tcPr>
          <w:p>
            <w:r>
              <w:t xml:space="preserve">disruption</w:t>
            </w:r>
          </w:p>
        </w:tc>
        <w:tc>
          <w:tcPr>
            <w:tcW w:w="0" w:type="auto"/>
          </w:tcPr>
          <w:p>
            <w:r>
              <w:t xml:space="preserve">combined</w:t>
            </w:r>
          </w:p>
        </w:tc>
        <w:tc>
          <w:tcPr>
            <w:tcW w:w="0" w:type="auto"/>
          </w:tcPr>
          <w:p>
            <w:r>
              <w:t xml:space="preserve">Total reward (surge)</w:t>
            </w:r>
          </w:p>
        </w:tc>
        <w:tc>
          <w:tcPr>
            <w:tcW w:w="0" w:type="auto"/>
          </w:tcPr>
          <w:p>
            <w:r>
              <w:t xml:space="preserve">Inductions (surge)</w:t>
            </w:r>
          </w:p>
        </w:tc>
      </w:tr>
      <w:tr>
        <w:tc>
          <w:tcPr>
            <w:tcW w:w="0" w:type="auto"/>
          </w:tcPr>
          <w:p>
            <w:r>
              <w:t xml:space="preserve">heuristic_threshold</w:t>
            </w:r>
          </w:p>
        </w:tc>
        <w:tc>
          <w:tcPr>
            <w:tcW w:w="0" w:type="auto"/>
          </w:tcPr>
          <w:p>
            <w:r>
              <w:t xml:space="preserve">0.00491</w:t>
            </w:r>
          </w:p>
        </w:tc>
        <w:tc>
          <w:tcPr>
            <w:tcW w:w="0" w:type="auto"/>
          </w:tcPr>
          <w:p>
            <w:r>
              <w:t xml:space="preserve">0.01184</w:t>
            </w:r>
          </w:p>
        </w:tc>
        <w:tc>
          <w:tcPr>
            <w:tcW w:w="0" w:type="auto"/>
          </w:tcPr>
          <w:p>
            <w:r>
              <w:t xml:space="preserve">0.01005</w:t>
            </w:r>
          </w:p>
        </w:tc>
        <w:tc>
          <w:tcPr>
            <w:tcW w:w="0" w:type="auto"/>
          </w:tcPr>
          <w:p>
            <w:r>
              <w:t xml:space="preserve">0.01680</w:t>
            </w:r>
          </w:p>
        </w:tc>
        <w:tc>
          <w:tcPr>
            <w:tcW w:w="0" w:type="auto"/>
          </w:tcPr>
          <w:p>
            <w:r>
              <w:t xml:space="preserve">-847.4</w:t>
            </w:r>
          </w:p>
        </w:tc>
        <w:tc>
          <w:tcPr>
            <w:tcW w:w="0" w:type="auto"/>
          </w:tcPr>
          <w:p>
            <w:r>
              <w:t xml:space="preserve">216.0</w:t>
            </w:r>
          </w:p>
        </w:tc>
      </w:tr>
      <w:tr>
        <w:tc>
          <w:tcPr>
            <w:tcW w:w="0" w:type="auto"/>
          </w:tcPr>
          <w:p>
            <w:r>
              <w:t xml:space="preserve">milp_static</w:t>
            </w:r>
          </w:p>
        </w:tc>
        <w:tc>
          <w:tcPr>
            <w:tcW w:w="0" w:type="auto"/>
          </w:tcPr>
          <w:p>
            <w:r>
              <w:t xml:space="preserve">0.00491</w:t>
            </w:r>
          </w:p>
        </w:tc>
        <w:tc>
          <w:tcPr>
            <w:tcW w:w="0" w:type="auto"/>
          </w:tcPr>
          <w:p>
            <w:r>
              <w:t xml:space="preserve">0.01187</w:t>
            </w:r>
          </w:p>
        </w:tc>
        <w:tc>
          <w:tcPr>
            <w:tcW w:w="0" w:type="auto"/>
          </w:tcPr>
          <w:p>
            <w:r>
              <w:t xml:space="preserve">0.01005</w:t>
            </w:r>
          </w:p>
        </w:tc>
        <w:tc>
          <w:tcPr>
            <w:tcW w:w="0" w:type="auto"/>
          </w:tcPr>
          <w:p>
            <w:r>
              <w:t xml:space="preserve">0.01705</w:t>
            </w:r>
          </w:p>
        </w:tc>
        <w:tc>
          <w:tcPr>
            <w:tcW w:w="0" w:type="auto"/>
          </w:tcPr>
          <w:p>
            <w:r>
              <w:t xml:space="preserve">-857.3</w:t>
            </w:r>
          </w:p>
        </w:tc>
        <w:tc>
          <w:tcPr>
            <w:tcW w:w="0" w:type="auto"/>
          </w:tcPr>
          <w:p>
            <w:r>
              <w:t xml:space="preserve">228.0</w:t>
            </w:r>
          </w:p>
        </w:tc>
      </w:tr>
      <w:tr>
        <w:tc>
          <w:tcPr>
            <w:tcW w:w="0" w:type="auto"/>
          </w:tcPr>
          <w:p>
            <w:r>
              <w:t xml:space="preserve">ppo_point</w:t>
            </w:r>
          </w:p>
        </w:tc>
        <w:tc>
          <w:tcPr>
            <w:tcW w:w="0" w:type="auto"/>
          </w:tcPr>
          <w:p>
            <w:r>
              <w:t xml:space="preserve">0.01119</w:t>
            </w:r>
          </w:p>
        </w:tc>
        <w:tc>
          <w:tcPr>
            <w:tcW w:w="0" w:type="auto"/>
          </w:tcPr>
          <w:p>
            <w:r>
              <w:t xml:space="preserve">0.01794</w:t>
            </w:r>
          </w:p>
        </w:tc>
        <w:tc>
          <w:tcPr>
            <w:tcW w:w="0" w:type="auto"/>
          </w:tcPr>
          <w:p>
            <w:r>
              <w:t xml:space="preserve">0.01635</w:t>
            </w:r>
          </w:p>
        </w:tc>
        <w:tc>
          <w:tcPr>
            <w:tcW w:w="0" w:type="auto"/>
          </w:tcPr>
          <w:p>
            <w:r>
              <w:t xml:space="preserve">0.02324</w:t>
            </w:r>
          </w:p>
        </w:tc>
        <w:tc>
          <w:tcPr>
            <w:tcW w:w="0" w:type="auto"/>
          </w:tcPr>
          <w:p>
            <w:r>
              <w:t xml:space="preserve">-956.0</w:t>
            </w:r>
          </w:p>
        </w:tc>
        <w:tc>
          <w:tcPr>
            <w:tcW w:w="0" w:type="auto"/>
          </w:tcPr>
          <w:p>
            <w:r>
              <w:t xml:space="preserve">229.0</w:t>
            </w:r>
          </w:p>
        </w:tc>
      </w:tr>
      <w:tr>
        <w:tc>
          <w:tcPr>
            <w:tcW w:w="0" w:type="auto"/>
          </w:tcPr>
          <w:p>
            <w:r>
              <w:t xml:space="preserve">ppo_placebo</w:t>
            </w:r>
          </w:p>
        </w:tc>
        <w:tc>
          <w:tcPr>
            <w:tcW w:w="0" w:type="auto"/>
          </w:tcPr>
          <w:p>
            <w:r>
              <w:t xml:space="preserve">0.01657</w:t>
            </w:r>
          </w:p>
        </w:tc>
        <w:tc>
          <w:tcPr>
            <w:tcW w:w="0" w:type="auto"/>
          </w:tcPr>
          <w:p>
            <w:r>
              <w:t xml:space="preserve">0.02316</w:t>
            </w:r>
          </w:p>
        </w:tc>
        <w:tc>
          <w:tcPr>
            <w:tcW w:w="0" w:type="auto"/>
          </w:tcPr>
          <w:p>
            <w:r>
              <w:t xml:space="preserve">0.02019</w:t>
            </w:r>
          </w:p>
        </w:tc>
        <w:tc>
          <w:tcPr>
            <w:tcW w:w="0" w:type="auto"/>
          </w:tcPr>
          <w:p>
            <w:r>
              <w:t xml:space="preserve">0.02684</w:t>
            </w:r>
          </w:p>
        </w:tc>
        <w:tc>
          <w:tcPr>
            <w:tcW w:w="0" w:type="auto"/>
          </w:tcPr>
          <w:p>
            <w:r>
              <w:t xml:space="preserve">-1035.4</w:t>
            </w:r>
          </w:p>
        </w:tc>
        <w:tc>
          <w:tcPr>
            <w:tcW w:w="0" w:type="auto"/>
          </w:tcPr>
          <w:p>
            <w:r>
              <w:t xml:space="preserve">230.9</w:t>
            </w:r>
          </w:p>
        </w:tc>
      </w:tr>
      <w:tr>
        <w:tc>
          <w:tcPr>
            <w:tcW w:w="0" w:type="auto"/>
          </w:tcPr>
          <w:p>
            <w:r>
              <w:t xml:space="preserve">fixed_timetable</w:t>
            </w:r>
          </w:p>
        </w:tc>
        <w:tc>
          <w:tcPr>
            <w:tcW w:w="0" w:type="auto"/>
          </w:tcPr>
          <w:p>
            <w:r>
              <w:t xml:space="preserve">0.01879</w:t>
            </w:r>
          </w:p>
        </w:tc>
        <w:tc>
          <w:tcPr>
            <w:tcW w:w="0" w:type="auto"/>
          </w:tcPr>
          <w:p>
            <w:r>
              <w:t xml:space="preserve">0.02550</w:t>
            </w:r>
          </w:p>
        </w:tc>
        <w:tc>
          <w:tcPr>
            <w:tcW w:w="0" w:type="auto"/>
          </w:tcPr>
          <w:p>
            <w:r>
              <w:t xml:space="preserve">0.02207</w:t>
            </w:r>
          </w:p>
        </w:tc>
        <w:tc>
          <w:tcPr>
            <w:tcW w:w="0" w:type="auto"/>
          </w:tcPr>
          <w:p>
            <w:r>
              <w:t xml:space="preserve">0.02864</w:t>
            </w:r>
          </w:p>
        </w:tc>
        <w:tc>
          <w:tcPr>
            <w:tcW w:w="0" w:type="auto"/>
          </w:tcPr>
          <w:p>
            <w:r>
              <w:t xml:space="preserve">-1042.3</w:t>
            </w:r>
          </w:p>
        </w:tc>
        <w:tc>
          <w:tcPr>
            <w:tcW w:w="0" w:type="auto"/>
          </w:tcPr>
          <w:p>
            <w:r>
              <w:t xml:space="preserve">203.9</w:t>
            </w:r>
          </w:p>
        </w:tc>
      </w:tr>
      <w:tr>
        <w:tc>
          <w:tcPr>
            <w:tcW w:w="0" w:type="auto"/>
          </w:tcPr>
          <w:p>
            <w:r>
              <w:t xml:space="preserve">ppo_uq_noavail</w:t>
            </w:r>
          </w:p>
        </w:tc>
        <w:tc>
          <w:tcPr>
            <w:tcW w:w="0" w:type="auto"/>
          </w:tcPr>
          <w:p>
            <w:r>
              <w:t xml:space="preserve">0.02204</w:t>
            </w:r>
          </w:p>
        </w:tc>
        <w:tc>
          <w:tcPr>
            <w:tcW w:w="0" w:type="auto"/>
          </w:tcPr>
          <w:p>
            <w:r>
              <w:t xml:space="preserve">0.02905</w:t>
            </w:r>
          </w:p>
        </w:tc>
        <w:tc>
          <w:tcPr>
            <w:tcW w:w="0" w:type="auto"/>
          </w:tcPr>
          <w:p>
            <w:r>
              <w:t xml:space="preserve">0.02319</w:t>
            </w:r>
          </w:p>
        </w:tc>
        <w:tc>
          <w:tcPr>
            <w:tcW w:w="0" w:type="auto"/>
          </w:tcPr>
          <w:p>
            <w:r>
              <w:t xml:space="preserve">0.03017</w:t>
            </w:r>
          </w:p>
        </w:tc>
        <w:tc>
          <w:tcPr>
            <w:tcW w:w="0" w:type="auto"/>
          </w:tcPr>
          <w:p>
            <w:r>
              <w:t xml:space="preserve">-1123.1</w:t>
            </w:r>
          </w:p>
        </w:tc>
        <w:tc>
          <w:tcPr>
            <w:tcW w:w="0" w:type="auto"/>
          </w:tcPr>
          <w:p>
            <w:r>
              <w:t xml:space="preserve">209.9</w:t>
            </w:r>
          </w:p>
        </w:tc>
      </w:tr>
      <w:tr>
        <w:tc>
          <w:tcPr>
            <w:tcW w:w="0" w:type="auto"/>
          </w:tcPr>
          <w:p>
            <w:r>
              <w:t xml:space="preserve">milp_rolling</w:t>
            </w:r>
          </w:p>
        </w:tc>
        <w:tc>
          <w:tcPr>
            <w:tcW w:w="0" w:type="auto"/>
          </w:tcPr>
          <w:p>
            <w:r>
              <w:t xml:space="preserve">0.02384</w:t>
            </w:r>
          </w:p>
        </w:tc>
        <w:tc>
          <w:tcPr>
            <w:tcW w:w="0" w:type="auto"/>
          </w:tcPr>
          <w:p>
            <w:r>
              <w:t xml:space="preserve">0.02932</w:t>
            </w:r>
          </w:p>
        </w:tc>
        <w:tc>
          <w:tcPr>
            <w:tcW w:w="0" w:type="auto"/>
          </w:tcPr>
          <w:p>
            <w:r>
              <w:t xml:space="preserve">0.02690</w:t>
            </w:r>
          </w:p>
        </w:tc>
        <w:tc>
          <w:tcPr>
            <w:tcW w:w="0" w:type="auto"/>
          </w:tcPr>
          <w:p>
            <w:r>
              <w:t xml:space="preserve">0.03205</w:t>
            </w:r>
          </w:p>
        </w:tc>
        <w:tc>
          <w:tcPr>
            <w:tcW w:w="0" w:type="auto"/>
          </w:tcPr>
          <w:p>
            <w:r>
              <w:t xml:space="preserve">-1135.6</w:t>
            </w:r>
          </w:p>
        </w:tc>
        <w:tc>
          <w:tcPr>
            <w:tcW w:w="0" w:type="auto"/>
          </w:tcPr>
          <w:p>
            <w:r>
              <w:t xml:space="preserve">228.3</w:t>
            </w:r>
          </w:p>
        </w:tc>
      </w:tr>
      <w:tr>
        <w:tc>
          <w:tcPr>
            <w:tcW w:w="0" w:type="auto"/>
          </w:tcPr>
          <w:p>
            <w:r>
              <w:t xml:space="preserve">ppo_uq (proposed)</w:t>
            </w:r>
          </w:p>
        </w:tc>
        <w:tc>
          <w:tcPr>
            <w:tcW w:w="0" w:type="auto"/>
          </w:tcPr>
          <w:p>
            <w:r>
              <w:t xml:space="preserve">0.02429</w:t>
            </w:r>
          </w:p>
        </w:tc>
        <w:tc>
          <w:tcPr>
            <w:tcW w:w="0" w:type="auto"/>
          </w:tcPr>
          <w:p>
            <w:r>
              <w:t xml:space="preserve">0.03168</w:t>
            </w:r>
          </w:p>
        </w:tc>
        <w:tc>
          <w:tcPr>
            <w:tcW w:w="0" w:type="auto"/>
          </w:tcPr>
          <w:p>
            <w:r>
              <w:t xml:space="preserve">0.02563</w:t>
            </w:r>
          </w:p>
        </w:tc>
        <w:tc>
          <w:tcPr>
            <w:tcW w:w="0" w:type="auto"/>
          </w:tcPr>
          <w:p>
            <w:r>
              <w:t xml:space="preserve">0.03219</w:t>
            </w:r>
          </w:p>
        </w:tc>
        <w:tc>
          <w:tcPr>
            <w:tcW w:w="0" w:type="auto"/>
          </w:tcPr>
          <w:p>
            <w:r>
              <w:t xml:space="preserve">-1157.0</w:t>
            </w:r>
          </w:p>
        </w:tc>
        <w:tc>
          <w:tcPr>
            <w:tcW w:w="0" w:type="auto"/>
          </w:tcPr>
          <w:p>
            <w:r>
              <w:t xml:space="preserve">204.3</w:t>
            </w:r>
          </w:p>
        </w:tc>
      </w:tr>
      <w:tr>
        <w:tc>
          <w:tcPr>
            <w:tcW w:w="0" w:type="auto"/>
          </w:tcPr>
          <w:p>
            <w:r>
              <w:t xml:space="preserve">ppo_uq_single_obj</w:t>
            </w:r>
          </w:p>
        </w:tc>
        <w:tc>
          <w:tcPr>
            <w:tcW w:w="0" w:type="auto"/>
          </w:tcPr>
          <w:p>
            <w:r>
              <w:t xml:space="preserve">0.13543</w:t>
            </w:r>
          </w:p>
        </w:tc>
        <w:tc>
          <w:tcPr>
            <w:tcW w:w="0" w:type="auto"/>
          </w:tcPr>
          <w:p>
            <w:r>
              <w:t xml:space="preserve">0.14694</w:t>
            </w:r>
          </w:p>
        </w:tc>
        <w:tc>
          <w:tcPr>
            <w:tcW w:w="0" w:type="auto"/>
          </w:tcPr>
          <w:p>
            <w:r>
              <w:t xml:space="preserve">0.13658</w:t>
            </w:r>
          </w:p>
        </w:tc>
        <w:tc>
          <w:tcPr>
            <w:tcW w:w="0" w:type="auto"/>
          </w:tcPr>
          <w:p>
            <w:r>
              <w:t xml:space="preserve">0.14651</w:t>
            </w:r>
          </w:p>
        </w:tc>
        <w:tc>
          <w:tcPr>
            <w:tcW w:w="0" w:type="auto"/>
          </w:tcPr>
          <w:p>
            <w:r>
              <w:t xml:space="preserve">-6334.8</w:t>
            </w:r>
          </w:p>
        </w:tc>
        <w:tc>
          <w:tcPr>
            <w:tcW w:w="0" w:type="auto"/>
          </w:tcPr>
          <w:p>
            <w:r>
              <w:t xml:space="preserve">195.2</w:t>
            </w:r>
          </w:p>
        </w:tc>
      </w:tr>
    </w:tbl>
    <w:p/>
    <w:p/>
    <w:p>
      <w:r>
        <w:t xml:space="preserve">No learned arm outperforms the tuned threshold heuristic or the static mixed-integer formulation in any scenario, on either the primary endpoint or the training objective. The proposed ppo_uq is also worse than the fixed timetable — worse, that is, than not adapting at all.</w:t>
      </w:r>
    </w:p>
    <w:p/>
    <w:p>
      <w:r>
        <w:t xml:space="preserve">Baselines are deterministic and carry no training seed, so under the registered seed-level unit of analysis each contributes a single observation and no inferential test between a learned method and a baseline is defined. These are differences of means, not hypothesis tests, and are labelled as such throughout. We report them prominently nevertheless: the comparison is unfavourable to the proposed method, and omitting it would misrepresent what the study found.</w:t>
      </w:r>
    </w:p>
    <w:p/>
    <w:p>
      <w:pPr>
        <w:pStyle w:val="Heading3"/>
      </w:pPr>
      <w:r>
        <w:t xml:space="preserve">11.2 Primary comparison (EXP-UQ-001)</w:t>
      </w:r>
    </w:p>
    <w:p/>
    <w:p>
      <w:r>
        <w:t xml:space="preserve">ppo_uq versus ppo_point on left_behind_fraction under surge, n = 10 training seeds (Table 5, Figure 5).</w:t>
      </w:r>
    </w:p>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tcPr>
          <w:p>
            <w:r>
              <w:t xml:space="preserve">Quantity</w:t>
            </w:r>
          </w:p>
        </w:tc>
        <w:tc>
          <w:tcPr>
            <w:tcW w:w="0" w:type="auto"/>
          </w:tcPr>
          <w:p>
            <w:r>
              <w:t xml:space="preserve">Value</w:t>
            </w:r>
          </w:p>
        </w:tc>
      </w:tr>
      <w:tr>
        <w:tc>
          <w:tcPr>
            <w:tcW w:w="0" w:type="auto"/>
          </w:tcPr>
          <w:p>
            <w:r>
              <w:t xml:space="preserve">Mean, ppo_uq</w:t>
            </w:r>
          </w:p>
        </w:tc>
        <w:tc>
          <w:tcPr>
            <w:tcW w:w="0" w:type="auto"/>
          </w:tcPr>
          <w:p>
            <w:r>
              <w:t xml:space="preserve">0.031681</w:t>
            </w:r>
          </w:p>
        </w:tc>
      </w:tr>
      <w:tr>
        <w:tc>
          <w:tcPr>
            <w:tcW w:w="0" w:type="auto"/>
          </w:tcPr>
          <w:p>
            <w:r>
              <w:t xml:space="preserve">Mean, ppo_point</w:t>
            </w:r>
          </w:p>
        </w:tc>
        <w:tc>
          <w:tcPr>
            <w:tcW w:w="0" w:type="auto"/>
          </w:tcPr>
          <w:p>
            <w:r>
              <w:t xml:space="preserve">0.017939</w:t>
            </w:r>
          </w:p>
        </w:tc>
      </w:tr>
      <w:tr>
        <w:tc>
          <w:tcPr>
            <w:tcW w:w="0" w:type="auto"/>
          </w:tcPr>
          <w:p>
            <w:r>
              <w:t xml:space="preserve">Mean paired difference</w:t>
            </w:r>
          </w:p>
        </w:tc>
        <w:tc>
          <w:tcPr>
            <w:tcW w:w="0" w:type="auto"/>
          </w:tcPr>
          <w:p>
            <w:r>
              <w:t xml:space="preserve">+0.013742</w:t>
            </w:r>
          </w:p>
        </w:tc>
      </w:tr>
      <w:tr>
        <w:tc>
          <w:tcPr>
            <w:tcW w:w="0" w:type="auto"/>
          </w:tcPr>
          <w:p>
            <w:r>
              <w:t xml:space="preserve">Hodges–Lehmann estimate</w:t>
            </w:r>
          </w:p>
        </w:tc>
        <w:tc>
          <w:tcPr>
            <w:tcW w:w="0" w:type="auto"/>
          </w:tcPr>
          <w:p>
            <w:r>
              <w:t xml:space="preserve">0.013588</w:t>
            </w:r>
          </w:p>
        </w:tc>
      </w:tr>
      <w:tr>
        <w:tc>
          <w:tcPr>
            <w:tcW w:w="0" w:type="auto"/>
          </w:tcPr>
          <w:p>
            <w:r>
              <w:t xml:space="preserve">95% BCa confidence interval</w:t>
            </w:r>
          </w:p>
        </w:tc>
        <w:tc>
          <w:tcPr>
            <w:tcW w:w="0" w:type="auto"/>
          </w:tcPr>
          <w:p>
            <w:r>
              <w:t xml:space="preserve">[0.006570, 0.018523]</w:t>
            </w:r>
          </w:p>
        </w:tc>
      </w:tr>
      <w:tr>
        <w:tc>
          <w:tcPr>
            <w:tcW w:w="0" w:type="auto"/>
          </w:tcPr>
          <w:p>
            <w:r>
              <w:t xml:space="preserve">Test</w:t>
            </w:r>
          </w:p>
        </w:tc>
        <w:tc>
          <w:tcPr>
            <w:tcW w:w="0" w:type="auto"/>
          </w:tcPr>
          <w:p>
            <w:r>
              <w:t xml:space="preserve">paired t-test</w:t>
            </w:r>
          </w:p>
        </w:tc>
      </w:tr>
      <w:tr>
        <w:tc>
          <w:tcPr>
            <w:tcW w:w="0" w:type="auto"/>
          </w:tcPr>
          <w:p>
            <w:r>
              <w:t xml:space="preserve">Unadjusted p</w:t>
            </w:r>
          </w:p>
        </w:tc>
        <w:tc>
          <w:tcPr>
            <w:tcW w:w="0" w:type="auto"/>
          </w:tcPr>
          <w:p>
            <w:r>
              <w:t xml:space="preserve">0.00387057</w:t>
            </w:r>
          </w:p>
        </w:tc>
      </w:tr>
      <w:tr>
        <w:tc>
          <w:tcPr>
            <w:tcW w:w="0" w:type="auto"/>
          </w:tcPr>
          <w:p>
            <w:r>
              <w:t xml:space="preserve">Holm-adjusted p</w:t>
            </w:r>
          </w:p>
        </w:tc>
        <w:tc>
          <w:tcPr>
            <w:tcW w:w="0" w:type="auto"/>
          </w:tcPr>
          <w:p>
            <w:r>
              <w:t xml:space="preserve">0.007741</w:t>
            </w:r>
          </w:p>
        </w:tc>
      </w:tr>
      <w:tr>
        <w:tc>
          <w:tcPr>
            <w:tcW w:w="0" w:type="auto"/>
          </w:tcPr>
          <w:p>
            <w:r>
              <w:t xml:space="preserve">SESOI (registered)</w:t>
            </w:r>
          </w:p>
        </w:tc>
        <w:tc>
          <w:tcPr>
            <w:tcW w:w="0" w:type="auto"/>
          </w:tcPr>
          <w:p>
            <w:r>
              <w:t xml:space="preserve">0.002</w:t>
            </w:r>
          </w:p>
        </w:tc>
      </w:tr>
      <w:tr>
        <w:tc>
          <w:tcPr>
            <w:tcW w:w="0" w:type="auto"/>
          </w:tcPr>
          <w:p>
            <w:r>
              <w:t xml:space="preserve">Relative degradation</w:t>
            </w:r>
          </w:p>
        </w:tc>
        <w:tc>
          <w:tcPr>
            <w:tcW w:w="0" w:type="auto"/>
          </w:tcPr>
          <w:p>
            <w:r>
              <w:t xml:space="preserve">76.6%</w:t>
            </w:r>
          </w:p>
        </w:tc>
      </w:tr>
    </w:tbl>
    <w:p/>
    <w:p/>
    <w:p>
      <w:r>
        <w:t xml:space="preserve">Because a higher left-behind fraction is worse, a positive difference means the uncertainty-aware arm performed worse. The confidence interval excludes zero and lies entirely above the SESOI of 0.002.</w:t>
      </w:r>
    </w:p>
    <w:p/>
    <w:p>
      <w:r>
        <w:t xml:space="preserve">This is not a null result. The registered test rejected the null hypothesis in the direction opposite to the one predicted.</w:t>
      </w:r>
    </w:p>
    <w:p/>
    <w:p>
      <w:pPr>
        <w:pStyle w:val="Heading3"/>
      </w:pPr>
      <w:r>
        <w:t xml:space="preserve">11.3 Placebo control (EXP-UQ-002)</w:t>
      </w:r>
    </w:p>
    <w:p/>
    <w:p>
      <w:r>
        <w:t xml:space="preserve">ppo_uq versus ppo_placebo: +0.008525, 95% BCa CI [0.002813, 0.014461], Holm-adjusted p = 0.011707 (Table 6, Figure 6).</w:t>
      </w:r>
    </w:p>
    <w:p/>
    <w:p>
      <w:r>
        <w:t xml:space="preserve">The ordering across the three arms is graded, and more informative than a binary contrast: ppo_point 0.01794 &lt; ppo_placebo 0.02316 &lt; ppo_uq 0.03168. An uninformative channel of the same shape costs something; an informative one costs more. Additional input dimensionality alone does not account for the gap.</w:t>
      </w:r>
    </w:p>
    <w:p/>
    <w:p>
      <w:r>
        <w:t xml:space="preserve">We are careful about what this identifies. The placebo shows that the behavioural difference depends on the information content of the channel. It does not identify the internal representation, and it is not a randomised assignment of uncertainty to operating conditions.</w:t>
      </w:r>
    </w:p>
    <w:p/>
    <w:p>
      <w:pPr>
        <w:pStyle w:val="Heading3"/>
      </w:pPr>
      <w:r>
        <w:t xml:space="preserve">11.4 Hypothesis verdict</w:t>
      </w:r>
    </w:p>
    <w:p/>
    <w:p>
      <w:r>
        <w:t xml:space="preserve">H1 = NOT SUPPORTED.</w:t>
      </w:r>
    </w:p>
    <w:p/>
    <w:p>
      <w:pPr>
        <w:pStyle w:val="Heading2"/>
      </w:pPr>
      <w:r>
        <w:t xml:space="preserve">12. Mechanism analysis</w:t>
      </w:r>
    </w:p>
    <w:p/>
    <w:p>
      <w:r>
        <w:t xml:space="preserve">The design manipulates a single variable — uncertainty-channel content — with all else held fixed under common random numbers. Behavioural differences between arms are therefore attributable to that manipulation. The analysis below uses stored per-epoch records from the registered sweep; nothing was re-simulated.</w:t>
      </w:r>
    </w:p>
    <w:p/>
    <w:p>
      <w:pPr>
        <w:pStyle w:val="Heading3"/>
      </w:pPr>
      <w:r>
        <w:t xml:space="preserve">12.1 Informative uncertainty suppresses dispatch; placebo uncertainty does not</w:t>
      </w:r>
    </w:p>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tcPr>
          <w:p>
            <w:r>
              <w:t xml:space="preserve">Scenario</w:t>
            </w:r>
          </w:p>
        </w:tc>
        <w:tc>
          <w:tcPr>
            <w:tcW w:w="0" w:type="auto"/>
          </w:tcPr>
          <w:p>
            <w:r>
              <w:t xml:space="preserve">Calibrated σ vs zero</w:t>
            </w:r>
          </w:p>
        </w:tc>
        <w:tc>
          <w:tcPr>
            <w:tcW w:w="0" w:type="auto"/>
          </w:tcPr>
          <w:p>
            <w:r>
              <w:t xml:space="preserve">p</w:t>
            </w:r>
          </w:p>
        </w:tc>
        <w:tc>
          <w:tcPr>
            <w:tcW w:w="0" w:type="auto"/>
          </w:tcPr>
          <w:p>
            <w:r>
              <w:t xml:space="preserve">Placebo σ vs zero</w:t>
            </w:r>
          </w:p>
        </w:tc>
        <w:tc>
          <w:tcPr>
            <w:tcW w:w="0" w:type="auto"/>
          </w:tcPr>
          <w:p>
            <w:r>
              <w:t xml:space="preserve">p</w:t>
            </w:r>
          </w:p>
        </w:tc>
      </w:tr>
      <w:tr>
        <w:tc>
          <w:tcPr>
            <w:tcW w:w="0" w:type="auto"/>
          </w:tcPr>
          <w:p>
            <w:r>
              <w:t xml:space="preserve">normal</w:t>
            </w:r>
          </w:p>
        </w:tc>
        <w:tc>
          <w:tcPr>
            <w:tcW w:w="0" w:type="auto"/>
          </w:tcPr>
          <w:p>
            <w:r>
              <w:t xml:space="preserve">-26.3 inductions</w:t>
            </w:r>
          </w:p>
        </w:tc>
        <w:tc>
          <w:tcPr>
            <w:tcW w:w="0" w:type="auto"/>
          </w:tcPr>
          <w:p>
            <w:r>
              <w:t xml:space="preserve">7.4e-06</w:t>
            </w:r>
          </w:p>
        </w:tc>
        <w:tc>
          <w:tcPr>
            <w:tcW w:w="0" w:type="auto"/>
          </w:tcPr>
          <w:p>
            <w:r>
              <w:t xml:space="preserve">+1.8</w:t>
            </w:r>
          </w:p>
        </w:tc>
        <w:tc>
          <w:tcPr>
            <w:tcW w:w="0" w:type="auto"/>
          </w:tcPr>
          <w:p>
            <w:r>
              <w:t xml:space="preserve">0.23</w:t>
            </w:r>
          </w:p>
        </w:tc>
      </w:tr>
      <w:tr>
        <w:tc>
          <w:tcPr>
            <w:tcW w:w="0" w:type="auto"/>
          </w:tcPr>
          <w:p>
            <w:r>
              <w:t xml:space="preserve">surge</w:t>
            </w:r>
          </w:p>
        </w:tc>
        <w:tc>
          <w:tcPr>
            <w:tcW w:w="0" w:type="auto"/>
          </w:tcPr>
          <w:p>
            <w:r>
              <w:t xml:space="preserve">-24.7 inductions</w:t>
            </w:r>
          </w:p>
        </w:tc>
        <w:tc>
          <w:tcPr>
            <w:tcW w:w="0" w:type="auto"/>
          </w:tcPr>
          <w:p>
            <w:r>
              <w:t xml:space="preserve">9.6e-06</w:t>
            </w:r>
          </w:p>
        </w:tc>
        <w:tc>
          <w:tcPr>
            <w:tcW w:w="0" w:type="auto"/>
          </w:tcPr>
          <w:p>
            <w:r>
              <w:t xml:space="preserve">+1.9</w:t>
            </w:r>
          </w:p>
        </w:tc>
        <w:tc>
          <w:tcPr>
            <w:tcW w:w="0" w:type="auto"/>
          </w:tcPr>
          <w:p>
            <w:r>
              <w:t xml:space="preserve">0.20</w:t>
            </w:r>
          </w:p>
        </w:tc>
      </w:tr>
      <w:tr>
        <w:tc>
          <w:tcPr>
            <w:tcW w:w="0" w:type="auto"/>
          </w:tcPr>
          <w:p>
            <w:r>
              <w:t xml:space="preserve">disruption</w:t>
            </w:r>
          </w:p>
        </w:tc>
        <w:tc>
          <w:tcPr>
            <w:tcW w:w="0" w:type="auto"/>
          </w:tcPr>
          <w:p>
            <w:r>
              <w:t xml:space="preserve">-14.9 inductions</w:t>
            </w:r>
          </w:p>
        </w:tc>
        <w:tc>
          <w:tcPr>
            <w:tcW w:w="0" w:type="auto"/>
          </w:tcPr>
          <w:p>
            <w:r>
              <w:t xml:space="preserve">3.6e-04</w:t>
            </w:r>
          </w:p>
        </w:tc>
        <w:tc>
          <w:tcPr>
            <w:tcW w:w="0" w:type="auto"/>
          </w:tcPr>
          <w:p>
            <w:r>
              <w:t xml:space="preserve">+1.9</w:t>
            </w:r>
          </w:p>
        </w:tc>
        <w:tc>
          <w:tcPr>
            <w:tcW w:w="0" w:type="auto"/>
          </w:tcPr>
          <w:p>
            <w:r>
              <w:t xml:space="preserve">0.30</w:t>
            </w:r>
          </w:p>
        </w:tc>
      </w:tr>
      <w:tr>
        <w:tc>
          <w:tcPr>
            <w:tcW w:w="0" w:type="auto"/>
          </w:tcPr>
          <w:p>
            <w:r>
              <w:t xml:space="preserve">combined</w:t>
            </w:r>
          </w:p>
        </w:tc>
        <w:tc>
          <w:tcPr>
            <w:tcW w:w="0" w:type="auto"/>
          </w:tcPr>
          <w:p>
            <w:r>
              <w:t xml:space="preserve">-14.1 inductions</w:t>
            </w:r>
          </w:p>
        </w:tc>
        <w:tc>
          <w:tcPr>
            <w:tcW w:w="0" w:type="auto"/>
          </w:tcPr>
          <w:p>
            <w:r>
              <w:t xml:space="preserve">4.2e-04</w:t>
            </w:r>
          </w:p>
        </w:tc>
        <w:tc>
          <w:tcPr>
            <w:tcW w:w="0" w:type="auto"/>
          </w:tcPr>
          <w:p>
            <w:r>
              <w:t xml:space="preserve">+1.9</w:t>
            </w:r>
          </w:p>
        </w:tc>
        <w:tc>
          <w:tcPr>
            <w:tcW w:w="0" w:type="auto"/>
          </w:tcPr>
          <w:p>
            <w:r>
              <w:t xml:space="preserve">0.27</w:t>
            </w:r>
          </w:p>
        </w:tc>
      </w:tr>
    </w:tbl>
    <w:p/>
    <w:p/>
    <w:p>
      <w:r>
        <w:t xml:space="preserve">Under surge this is approximately a 11% reduction in dispatch volume relative to the point-forecast arm (Table 9, Figure 7). The placebo arm does not move. The evidence is therefore consistent with the controller responding to genuine forecast dispersion, and responding by withholding service.</w:t>
      </w:r>
    </w:p>
    <w:p/>
    <w:p>
      <w:pPr>
        <w:pStyle w:val="Heading3"/>
      </w:pPr>
      <w:r>
        <w:t xml:space="preserve">12.2 Dispatch timing, at matched volume</w:t>
      </w:r>
    </w:p>
    <w:p/>
    <w:p>
      <w:r>
        <w:t xml:space="preserve">ppo_uq and the fixed timetable release almost the same number of trains, which makes them the one pair in the study comparable at approximately matched volume:</w:t>
      </w:r>
    </w:p>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tcPr>
          <w:p>
            <w:r>
              <w:t xml:space="preserve">Quantity</w:t>
            </w:r>
          </w:p>
        </w:tc>
        <w:tc>
          <w:tcPr>
            <w:tcW w:w="0" w:type="auto"/>
          </w:tcPr>
          <w:p>
            <w:r>
              <w:t xml:space="preserve">ppo_uq</w:t>
            </w:r>
          </w:p>
        </w:tc>
        <w:tc>
          <w:tcPr>
            <w:tcW w:w="0" w:type="auto"/>
          </w:tcPr>
          <w:p>
            <w:r>
              <w:t xml:space="preserve">fixed_timetable</w:t>
            </w:r>
          </w:p>
        </w:tc>
      </w:tr>
      <w:tr>
        <w:tc>
          <w:tcPr>
            <w:tcW w:w="0" w:type="auto"/>
          </w:tcPr>
          <w:p>
            <w:r>
              <w:t xml:space="preserve">inductions</w:t>
            </w:r>
          </w:p>
        </w:tc>
        <w:tc>
          <w:tcPr>
            <w:tcW w:w="0" w:type="auto"/>
          </w:tcPr>
          <w:p>
            <w:r>
              <w:t xml:space="preserve">204.3</w:t>
            </w:r>
          </w:p>
        </w:tc>
        <w:tc>
          <w:tcPr>
            <w:tcW w:w="0" w:type="auto"/>
          </w:tcPr>
          <w:p>
            <w:r>
              <w:t xml:space="preserve">203.9</w:t>
            </w:r>
          </w:p>
        </w:tc>
      </w:tr>
      <w:tr>
        <w:tc>
          <w:tcPr>
            <w:tcW w:w="0" w:type="auto"/>
          </w:tcPr>
          <w:p>
            <w:r>
              <w:t xml:space="preserve">idle epochs</w:t>
            </w:r>
          </w:p>
        </w:tc>
        <w:tc>
          <w:tcPr>
            <w:tcW w:w="0" w:type="auto"/>
          </w:tcPr>
          <w:p>
            <w:r>
              <w:t xml:space="preserve">84.4</w:t>
            </w:r>
          </w:p>
        </w:tc>
        <w:tc>
          <w:tcPr>
            <w:tcW w:w="0" w:type="auto"/>
          </w:tcPr>
          <w:p>
            <w:r>
              <w:t xml:space="preserve">54.1</w:t>
            </w:r>
          </w:p>
        </w:tc>
      </w:tr>
      <w:tr>
        <w:tc>
          <w:tcPr>
            <w:tcW w:w="0" w:type="auto"/>
          </w:tcPr>
          <w:p>
            <w:r>
              <w:t xml:space="preserve">max queue</w:t>
            </w:r>
          </w:p>
        </w:tc>
        <w:tc>
          <w:tcPr>
            <w:tcW w:w="0" w:type="auto"/>
          </w:tcPr>
          <w:p>
            <w:r>
              <w:t xml:space="preserve">1195.1</w:t>
            </w:r>
          </w:p>
        </w:tc>
        <w:tc>
          <w:tcPr>
            <w:tcW w:w="0" w:type="auto"/>
          </w:tcPr>
          <w:p>
            <w:r>
              <w:t xml:space="preserve">980.6</w:t>
            </w:r>
          </w:p>
        </w:tc>
      </w:tr>
    </w:tbl>
    <w:p/>
    <w:p/>
    <w:p>
      <w:r>
        <w:t xml:space="preserve">At comparable volume the uncertainty-aware arm leaves markedly more decision epochs with no dispatch and reaches a larger peak queue than a non-adaptive schedule. This suggests both restraint and clustering are present. Across methods the relationship between dispatch volume and service is not monotone — the tuned heuristic achieves the best service in the study while dispatching fewer trains than ppo_point — so timing matters alongside volume.</w:t>
      </w:r>
    </w:p>
    <w:p/>
    <w:p>
      <w:pPr>
        <w:pStyle w:val="Heading3"/>
      </w:pPr>
      <w:r>
        <w:t xml:space="preserve">12.3 Convex service loss</w:t>
      </w:r>
    </w:p>
    <w:p/>
    <w:p>
      <w:r>
        <w:t xml:space="preserve">Measured from stored per-epoch records (Figure 8), passengers left behind remain near zero while capacity is slack and rise sharply once it binds.</w:t>
      </w:r>
    </w:p>
    <w:p/>
    <w:p>
      <w:r>
        <w:t xml:space="preserve">For a convex loss ℓ, Jensen's inequality gives E[ℓ(D)] ≥ ℓ(E[D]): the expected service loss under stochastic demand exceeds the loss evaluated at expected demand, and the gap widens with dispersion. This is the classical newsvendor observation [arrow1951] and we invoke it as established rather than derive it. Its operational implication is that a controller facing elevated forecast dispersion has reason to hedge upward, buying protection against an expensive upper tail.</w:t>
      </w:r>
    </w:p>
    <w:p/>
    <w:p>
      <w:r>
        <w:t xml:space="preserve">Interpretation, stated with its limits. We separate what was observed from what it suggests:</w:t>
      </w:r>
    </w:p>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tcPr>
          <w:p>
            <w:r>
              <w:t xml:space="preserve">Observed</w:t>
            </w:r>
          </w:p>
        </w:tc>
        <w:tc>
          <w:tcPr>
            <w:tcW w:w="0" w:type="auto"/>
          </w:tcPr>
          <w:p>
            <w:r>
              <w:t xml:space="preserve">Informative σ is associated with fewer dispatches and worse service; placebo σ is not</w:t>
            </w:r>
          </w:p>
        </w:tc>
      </w:tr>
      <w:tr>
        <w:tc>
          <w:tcPr>
            <w:tcW w:w="0" w:type="auto"/>
          </w:tcPr>
          <w:p>
            <w:r>
              <w:t xml:space="preserve">Mechanism evidence</w:t>
            </w:r>
          </w:p>
        </w:tc>
        <w:tc>
          <w:tcPr>
            <w:tcW w:w="0" w:type="auto"/>
          </w:tcPr>
          <w:p>
            <w:r>
              <w:t xml:space="preserve">The placebo comparison indicates the effect depends on the information content of σ, not on additional input dimensions</w:t>
            </w:r>
          </w:p>
        </w:tc>
      </w:tr>
      <w:tr>
        <w:tc>
          <w:tcPr>
            <w:tcW w:w="0" w:type="auto"/>
          </w:tcPr>
          <w:p>
            <w:r>
              <w:t xml:space="preserve">Interpretation</w:t>
            </w:r>
          </w:p>
        </w:tc>
        <w:tc>
          <w:tcPr>
            <w:tcW w:w="0" w:type="auto"/>
          </w:tcPr>
          <w:p>
            <w:r>
              <w:t xml:space="preserve">The evidence is consistent with the controller having learned a conservative response to dispersion, in the direction opposite to the one convex loss would motivate</w:t>
            </w:r>
          </w:p>
        </w:tc>
      </w:tr>
      <w:tr>
        <w:tc>
          <w:tcPr>
            <w:tcW w:w="0" w:type="auto"/>
          </w:tcPr>
          <w:p>
            <w:r>
              <w:t xml:space="preserve">Limitation</w:t>
            </w:r>
          </w:p>
        </w:tc>
        <w:tc>
          <w:tcPr>
            <w:tcW w:w="0" w:type="auto"/>
          </w:tcPr>
          <w:p>
            <w:r>
              <w:t xml:space="preserve">We do not observe the network's internal computation. The registered epoch-level test — dispatch rate against dispersion conditional on the forecast mean — could not be run, because stored cells do not carry the per-epoch forecast. It remains open</w:t>
            </w:r>
          </w:p>
        </w:tc>
      </w:tr>
      <w:tr>
        <w:tc>
          <w:tcPr>
            <w:tcW w:w="0" w:type="auto"/>
          </w:tcPr>
          <w:p>
            <w:r>
              <w:t xml:space="preserve">Future hypothesis</w:t>
            </w:r>
          </w:p>
        </w:tc>
        <w:tc>
          <w:tcPr>
            <w:tcW w:w="0" w:type="auto"/>
          </w:tcPr>
          <w:p>
            <w:r>
              <w:t xml:space="preserve">If this is an optimisation failure rather than a property of the information, a larger training budget should attenuate or reverse it (Section 17)</w:t>
            </w:r>
          </w:p>
        </w:tc>
      </w:tr>
    </w:tbl>
    <w:p/>
    <w:p/>
    <w:p>
      <w:r>
        <w:t xml:space="preserve">We deliberately do not claim the controller learned the wrong sign as a mathematical statement. The available evidence supports a behavioural description and a plausible reading of it, not a proof about the learned value function.</w:t>
      </w:r>
    </w:p>
    <w:p/>
    <w:p>
      <w:pPr>
        <w:pStyle w:val="Heading2"/>
      </w:pPr>
      <w:r>
        <w:t xml:space="preserve">13. Robustness and sensitivity</w:t>
      </w:r>
    </w:p>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tcPr>
          <w:p>
            <w:r>
              <w:t xml:space="preserve">Check</w:t>
            </w:r>
          </w:p>
        </w:tc>
        <w:tc>
          <w:tcPr>
            <w:tcW w:w="0" w:type="auto"/>
          </w:tcPr>
          <w:p>
            <w:r>
              <w:t xml:space="preserve">Result</w:t>
            </w:r>
          </w:p>
        </w:tc>
      </w:tr>
      <w:tr>
        <w:tc>
          <w:tcPr>
            <w:tcW w:w="0" w:type="auto"/>
          </w:tcPr>
          <w:p>
            <w:r>
              <w:t xml:space="preserve">Scenarios reproducing the direction</w:t>
            </w:r>
          </w:p>
        </w:tc>
        <w:tc>
          <w:tcPr>
            <w:tcW w:w="0" w:type="auto"/>
          </w:tcPr>
          <w:p>
            <w:r>
              <w:t xml:space="preserve">4/4</w:t>
            </w:r>
          </w:p>
        </w:tc>
      </w:tr>
      <w:tr>
        <w:tc>
          <w:tcPr>
            <w:tcW w:w="0" w:type="auto"/>
          </w:tcPr>
          <w:p>
            <w:r>
              <w:t xml:space="preserve">Training seeds favouring ppo_point</w:t>
            </w:r>
          </w:p>
        </w:tc>
        <w:tc>
          <w:tcPr>
            <w:tcW w:w="0" w:type="auto"/>
          </w:tcPr>
          <w:p>
            <w:r>
              <w:t xml:space="preserve">9/10</w:t>
            </w:r>
          </w:p>
        </w:tc>
      </w:tr>
      <w:tr>
        <w:tc>
          <w:tcPr>
            <w:tcW w:w="0" w:type="auto"/>
          </w:tcPr>
          <w:p>
            <w:r>
              <w:t xml:space="preserve">Distribution-free cross-check (Wilcoxon signed-rank)</w:t>
            </w:r>
          </w:p>
        </w:tc>
        <w:tc>
          <w:tcPr>
            <w:tcW w:w="0" w:type="auto"/>
          </w:tcPr>
          <w:p>
            <w:r>
              <w:t xml:space="preserve">p = 0.005859</w:t>
            </w:r>
          </w:p>
        </w:tc>
      </w:tr>
      <w:tr>
        <w:tc>
          <w:tcPr>
            <w:tcW w:w="0" w:type="auto"/>
          </w:tcPr>
          <w:p>
            <w:r>
              <w:t xml:space="preserve">Worst leave-one-seed-out replicate</w:t>
            </w:r>
          </w:p>
        </w:tc>
        <w:tc>
          <w:tcPr>
            <w:tcW w:w="0" w:type="auto"/>
          </w:tcPr>
          <w:p>
            <w:r>
              <w:t xml:space="preserve">p = 0.01021 (seed 107), Holm-adjusted 0.02043</w:t>
            </w:r>
          </w:p>
        </w:tc>
      </w:tr>
      <w:tr>
        <w:tc>
          <w:tcPr>
            <w:tcW w:w="0" w:type="auto"/>
          </w:tcPr>
          <w:p>
            <w:r>
              <w:t xml:space="preserve">Sensitivity conditions where ppo_uq is worse</w:t>
            </w:r>
          </w:p>
        </w:tc>
        <w:tc>
          <w:tcPr>
            <w:tcW w:w="0" w:type="auto"/>
          </w:tcPr>
          <w:p>
            <w:r>
              <w:t xml:space="preserve">12/12</w:t>
            </w:r>
          </w:p>
        </w:tc>
      </w:tr>
    </w:tbl>
    <w:p/>
    <w:p/>
    <w:p>
      <w:r>
        <w:t xml:space="preserve">The conclusion does not depend on any single training seed, on the choice of parametric test, or on one scenario (Table 7, Figure 9).</w:t>
      </w:r>
    </w:p>
    <w:p/>
    <w:p>
      <w:r>
        <w:t xml:space="preserve">Origin–destination sensitivity. The OD structure is synthetic and drives the primary endpoint, so the comparison was re-scored under all three OD variants. The registered direction holds in every one, against both comparators (Table 8, Figure 11). Individual conditions mostly do not clear the Benjamini–Hochberg threshold, which is expected — each uses five training seeds and ten evaluation seeds against ten and thirty in the main sweep — so the evidence is the consistency of sign rather than any single test. These conditions re-score the same policies and are therefore strongly dependent; consistency across them is weaker evidence than independent replication would be.</w:t>
      </w:r>
    </w:p>
    <w:p/>
    <w:p>
      <w:r>
        <w:t xml:space="preserve">Reward-weight sensitivity is vacuous on the primary endpoint, and we report that rather than the analysis it appears to be. Re-scoring a frozen policy under a different reward weighting changes no action, because the policy does not observe the reward at evaluation time. The trajectory — and with it left_behind_fraction and inductions — is identical across all three weightings, verified per seed; only total_reward differs. Measured there, ppo_point wins under every weighting, by a margin that grows as the weighting favours service, which is the ordering the under-dispatching mechanism predicts. Testing weight sensitivity on physical outcomes would require retraining under each weighting, which this design did not do.</w:t>
      </w:r>
    </w:p>
    <w:p/>
    <w:p>
      <w:r>
        <w:t xml:space="preserve">Interpretability. Feature attributions for one policy at one training seed are reported in Supplementary Material S9 (shap.PermutationExplainer (model-agnostic)). They describe model association on a chosen instance set and do not establish causality; they support no hypothesis in this paper.</w:t>
      </w:r>
    </w:p>
    <w:p/>
    <w:p>
      <w:pPr>
        <w:pStyle w:val="Heading2"/>
      </w:pPr>
      <w:r>
        <w:t xml:space="preserve">14. Discussion</w:t>
      </w:r>
    </w:p>
    <w:p/>
    <w:p>
      <w:r>
        <w:t xml:space="preserve">What was expected. Demand uncertainty is decision-relevant in capacity-constrained service systems, and the registered hypothesis was that supplying it to the controller would reduce the fraction of passengers left behind.</w:t>
      </w:r>
    </w:p>
    <w:p/>
    <w:p>
      <w:r>
        <w:t xml:space="preserve">What was observed. The opposite, significantly and consistently. The uncertainty-aware controller left more passengers behind than the point-forecast controller, and more than a placebo carrying an uninformative signal of identical marginal distribution. It also dispatched substantially fewer trains when given genuine dispersion.</w:t>
      </w:r>
    </w:p>
    <w:p/>
    <w:p>
      <w:r>
        <w:t xml:space="preserve">Why it may have happened. Three readings are consistent with the evidence, and the design separates them only partly.</w:t>
      </w:r>
    </w:p>
    <w:p/>
    <w:p>
      <w:r>
        <w:t xml:space="preserve">Reading 1 — the signal is genuinely unhelpful in this setting. The placebo comparison supports this more than a naive reading would: the calibrated σ performed worse than a shuffled σ of the same marginal distribution, so the harm is not simply the cost of two additional inputs.</w:t>
      </w:r>
    </w:p>
    <w:p/>
    <w:p>
      <w:r>
        <w:t xml:space="preserve">Reading 2 — the information is usable but the controller did not learn to use it. One frozen configuration at a fixed budget may fail to exploit an input that a longer or better-tuned run would. The convex-loss result makes this reading more plausible than it would otherwise be: theory says dispersion should motivate hedging upward and the controller moved down, which resembles a learning failure more than an informative absence of value. That no learned arm beats a threshold heuristic points the same way.</w:t>
      </w:r>
    </w:p>
    <w:p/>
    <w:p>
      <w:r>
        <w:t xml:space="preserve">Reading 3 — the scalarisation misdirects the response. Under a weighting where energy and cost carry real weight, dispatch has an immediate certain cost while its benefit is delayed and uncertain. A controller reading high dispersion as elevated risk may protect the certain terms and lose more on the service terms. The observed pattern — lower energy and cost, worse service, worse total reward — is consistent with this.</w:t>
      </w:r>
    </w:p>
    <w:p/>
    <w:p>
      <w:r>
        <w:t xml:space="preserve">Distinguishing readings 1 and 2 requires a training-budget experiment. Until it is run, the defensible statement is the narrow one: in this environment, at this budget, the uncertainty channel did not help and measurably hurt.</w:t>
      </w:r>
    </w:p>
    <w:p/>
    <w:p>
      <w:r>
        <w:t xml:space="preserve">What it means for uncertainty-aware reinforcement learning. It identifies a concrete failure mode — an informative uncertainty input producing a systematically conservative response that is costly precisely where the loss is convex — and shows that the failure survives a placebo control. It does not establish that uncertainty-aware reinforcement learning is generally ineffective, and no result here speaks to risk-sensitive objectives, distributional value functions, or architectures designed to consume uncertainty explicitly.</w:t>
      </w:r>
    </w:p>
    <w:p/>
    <w:p>
      <w:r>
        <w:t xml:space="preserve">What it means for evaluation practice. A single-seed, episode-level comparison without a placebo could plausibly have produced a favourable and unreplicable result from the same experimental material [henderson2018; colas2018]. The control structure, not the algorithm, is what makes this study's conclusion interpretable.</w:t>
      </w:r>
    </w:p>
    <w:p/>
    <w:p>
      <w:pPr>
        <w:pStyle w:val="Heading2"/>
      </w:pPr>
      <w:r>
        <w:t xml:space="preserve">15. Practical implications</w:t>
      </w:r>
    </w:p>
    <w:p/>
    <w:p>
      <w:r>
        <w:t xml:space="preserve">Stated conditionally, because the environment's crowding components are not externally validated and the study covers one line.</w:t>
      </w:r>
    </w:p>
    <w:p/>
    <w:p>
      <w:r>
        <w:t xml:space="preserve">For metro operators. Adding a calibrated uncertainty feature to a learned dispatch controller should not be assumed to improve service. Evaluation should include a placebo-controlled comparison rather than a before/after improvement, and should stress the controller in capacity-binding regimes, where the cost of a conservative decision is nonlinear and where a well-behaved controller in slack conditions may still fail.</w:t>
      </w:r>
    </w:p>
    <w:p/>
    <w:p>
      <w:r>
        <w:t xml:space="preserve">For transit planners. In this study a tuned threshold heuristic outperformed every learned controller. Where a simple demand-responsive rule is available, it is a serious operational candidate and an essential evaluation baseline, not a formality.</w:t>
      </w:r>
    </w:p>
    <w:p/>
    <w:p>
      <w:r>
        <w:t xml:space="preserve">For reinforcement-learning researchers. The failure mode is specific and testable: an informative uncertainty input can induce conservatism in the wrong direction relative to a convex loss. Reporting dispatch-volume behaviour alongside outcome metrics would make such effects visible earlier.</w:t>
      </w:r>
    </w:p>
    <w:p/>
    <w:p>
      <w:r>
        <w:t xml:space="preserve">For forecasting researchers. Calibration is necessary but not sufficient. A well-calibrated dispersion estimate can still degrade a downstream controller if the controller's response to it is mis-signed.</w:t>
      </w:r>
    </w:p>
    <w:p/>
    <w:p>
      <w:r>
        <w:t xml:space="preserve">For simulation researchers. The quantities that determine an endpoint deserve validation priority. Here the supply-side quantities were validated and the crowding-side quantities — which define the endpoint — largely were not.</w:t>
      </w:r>
    </w:p>
    <w:p/>
    <w:p>
      <w:r>
        <w:t xml:space="preserve">No claim of deployment readiness is made. Nothing in this study licenses operational use.</w:t>
      </w:r>
    </w:p>
    <w:p/>
    <w:p>
      <w:pPr>
        <w:pStyle w:val="Heading2"/>
      </w:pPr>
      <w:r>
        <w:t xml:space="preserve">16. Limitations</w:t>
      </w:r>
    </w:p>
    <w:p/>
    <w:p>
      <w:r>
        <w:t xml:space="preserve">1. Underpowered for the registered SESOI. n = 10 against n = 69 required at the pilot standard deviation, and the realised standard deviation was 2.13× larger still. Every null result here is inconclusive, never evidence of equivalence.</w:t>
      </w:r>
    </w:p>
    <w:p>
      <w:r>
        <w:t xml:space="preserve">2. A single frozen training configuration, which may be undertrained in absolute terms rather than merely relative to its siblings: no learned arm beats the threshold heuristic, and one single-objective training seed diverged by two orders of magnitude. This is the largest threat to the interpretation and is not resolvable by re-analysis.</w:t>
      </w:r>
    </w:p>
    <w:p>
      <w:r>
        <w:t xml:space="preserve">3. Training-budget confounding. The study cannot separate the uncertainty channel is unhelpful from this optimiser could not exploit it at this budget.</w:t>
      </w:r>
    </w:p>
    <w:p>
      <w:r>
        <w:t xml:space="preserve">4. The learned controllers underperform a tuned heuristic, which bounds the practical contribution to nothing and must be read alongside the primary result.</w:t>
      </w:r>
    </w:p>
    <w:p>
      <w:r>
        <w:t xml:space="preserve">5. 7 of 14 environment quantities are not externally validated, including four that feed the primary endpoint directly. Magnitudes are simulator-internal.</w:t>
      </w:r>
    </w:p>
    <w:p>
      <w:r>
        <w:t xml:space="preserve">6. Synthetic origin–destination structure, mitigated but not eliminated by the OD sensitivity analysis.</w:t>
      </w:r>
    </w:p>
    <w:p>
      <w:r>
        <w:t xml:space="preserve">7. A single line, operator and network configuration. No external-validity claim.</w:t>
      </w:r>
    </w:p>
    <w:p>
      <w:r>
        <w:t xml:space="preserve">8. Limited external validation of the environment overall; it is a simulation environment, not a validated digital twin.</w:t>
      </w:r>
    </w:p>
    <w:p>
      <w:r>
        <w:t xml:space="preserve">9. The registered follow-up is incomplete. The training-budget study was stopped at 11 of 80 policies, at a single budget, asymmetrically distributed across arms, with no evaluation cells. It supports no result and none is reported from it: not even the lowest budget admits a paired comparison. It appears in this paper only as an open question.</w:t>
      </w:r>
    </w:p>
    <w:p>
      <w:r>
        <w:t xml:space="preserve">10. No transfer or generalisation evidence. Nothing here indicates how the finding would transfer to another line, demand regime, architecture or reward.</w:t>
      </w:r>
    </w:p>
    <w:p>
      <w:r>
        <w:t xml:space="preserve">11. The registered mechanism test (epoch-level) is unresolved, because stored cells do not carry the per-epoch forecast.</w:t>
      </w:r>
    </w:p>
    <w:p>
      <w:r>
        <w:t xml:space="preserve">12. Feature attributions are associational, computed for one policy at one seed.</w:t>
      </w:r>
    </w:p>
    <w:p/>
    <w:p>
      <w:r>
        <w:t xml:space="preserve">These are collected in Table 10.</w:t>
      </w:r>
    </w:p>
    <w:p/>
    <w:p>
      <w:pPr>
        <w:pStyle w:val="Heading2"/>
      </w:pPr>
      <w:r>
        <w:t xml:space="preserve">17. Future work</w:t>
      </w:r>
    </w:p>
    <w:p/>
    <w:p>
      <w:r>
        <w:t xml:space="preserve">The following are proposed, not completed. None was run after the confirmatory result was known, which is deliberate: doing so would convert a pre-registered study into a post-hoc one.</w:t>
      </w:r>
    </w:p>
    <w:p/>
    <w:p>
      <w:r>
        <w:t xml:space="preserve">1. Registered training-budget sweep. The single most informative remaining experiment, and the only one that can separate an information effect from a sample-efficiency effect. A protocol and a pre-committed analysis exist in the repository; execution is incomplete.</w:t>
      </w:r>
    </w:p>
    <w:p>
      <w:r>
        <w:t xml:space="preserve">2. Symmetric hyperparameter selection. Select one configuration on independent validation data using the point-forecast arm only, then apply it unchanged to all arms. Tuning on the arm that is not the hypothesis preserves symmetry while addressing the absolute-undertraining concern.</w:t>
      </w:r>
    </w:p>
    <w:p>
      <w:r>
        <w:t xml:space="preserve">3. Uncertainty-scaling probe. Supply a deliberately mis-scaled dispersion signal. A monotone response would implicate magnitude rather than information content.</w:t>
      </w:r>
    </w:p>
    <w:p>
      <w:r>
        <w:t xml:space="preserve">4. Risk-sensitive and robust formulations. Test controllers designed to consume uncertainty explicitly, rather than supplying uncertainty to a risk-neutral learner.</w:t>
      </w:r>
    </w:p>
    <w:p>
      <w:r>
        <w:t xml:space="preserve">5. Alternative reward weightings, with retraining, to test whether the conservative response persists when unmet demand dominates the objective.</w:t>
      </w:r>
    </w:p>
    <w:p>
      <w:r>
        <w:t xml:space="preserve">6. Multi-line and broader demand regimes, and validation of the crowding-side environment components against operator data.</w:t>
      </w:r>
    </w:p>
    <w:p>
      <w:r>
        <w:t xml:space="preserve">7. Operational pilot evaluation with human dispatchers, which no simulation result can substitute for.</w:t>
      </w:r>
    </w:p>
    <w:p/>
    <w:p>
      <w:pPr>
        <w:pStyle w:val="Heading2"/>
      </w:pPr>
      <w:r>
        <w:t xml:space="preserve">18. Reproducibility and software artefact</w:t>
      </w:r>
    </w:p>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tcPr>
          <w:p>
            <w:r>
              <w:t xml:space="preserve">Item</w:t>
            </w:r>
          </w:p>
        </w:tc>
        <w:tc>
          <w:tcPr>
            <w:tcW w:w="0" w:type="auto"/>
          </w:tcPr>
          <w:p>
            <w:r>
              <w:t xml:space="preserve">Value</w:t>
            </w:r>
          </w:p>
        </w:tc>
      </w:tr>
      <w:tr>
        <w:tc>
          <w:tcPr>
            <w:tcW w:w="0" w:type="auto"/>
          </w:tcPr>
          <w:p>
            <w:r>
              <w:t xml:space="preserve">Git commit</w:t>
            </w:r>
          </w:p>
        </w:tc>
        <w:tc>
          <w:tcPr>
            <w:tcW w:w="0" w:type="auto"/>
          </w:tcPr>
          <w:p>
            <w:r>
              <w:t xml:space="preserve">4dec2d835e8cac46fe39549b074c9622ccacb85a</w:t>
            </w:r>
          </w:p>
        </w:tc>
      </w:tr>
      <w:tr>
        <w:tc>
          <w:tcPr>
            <w:tcW w:w="0" w:type="auto"/>
          </w:tcPr>
          <w:p>
            <w:r>
              <w:t xml:space="preserve">Immutable tag</w:t>
            </w:r>
          </w:p>
        </w:tc>
        <w:tc>
          <w:tcPr>
            <w:tcW w:w="0" w:type="auto"/>
          </w:tcPr>
          <w:p>
            <w:r>
              <w:t xml:space="preserve">original-confirmatory-study</w:t>
            </w:r>
          </w:p>
        </w:tc>
      </w:tr>
      <w:tr>
        <w:tc>
          <w:tcPr>
            <w:tcW w:w="0" w:type="auto"/>
          </w:tcPr>
          <w:p>
            <w:r>
              <w:t xml:space="preserve">Interpreter</w:t>
            </w:r>
          </w:p>
        </w:tc>
        <w:tc>
          <w:tcPr>
            <w:tcW w:w="0" w:type="auto"/>
          </w:tcPr>
          <w:p>
            <w:r>
              <w:t xml:space="preserve">Python 3.11.9 on Windows-10-10.0.26200-SP0</w:t>
            </w:r>
          </w:p>
        </w:tc>
      </w:tr>
      <w:tr>
        <w:tc>
          <w:tcPr>
            <w:tcW w:w="0" w:type="auto"/>
          </w:tcPr>
          <w:p>
            <w:r>
              <w:t xml:space="preserve">Dependencies</w:t>
            </w:r>
          </w:p>
        </w:tc>
        <w:tc>
          <w:tcPr>
            <w:tcW w:w="0" w:type="auto"/>
          </w:tcPr>
          <w:p>
            <w:r>
              <w:t xml:space="preserve">55 pinned packages, 1047 SHA-256 hashes</w:t>
            </w:r>
          </w:p>
        </w:tc>
      </w:tr>
      <w:tr>
        <w:tc>
          <w:tcPr>
            <w:tcW w:w="0" w:type="auto"/>
          </w:tcPr>
          <w:p>
            <w:r>
              <w:t xml:space="preserve">Evaluation cells</w:t>
            </w:r>
          </w:p>
        </w:tc>
        <w:tc>
          <w:tcPr>
            <w:tcW w:w="0" w:type="auto"/>
          </w:tcPr>
          <w:p>
            <w:r>
              <w:t xml:space="preserve">7,610</w:t>
            </w:r>
          </w:p>
        </w:tc>
      </w:tr>
      <w:tr>
        <w:tc>
          <w:tcPr>
            <w:tcW w:w="0" w:type="auto"/>
          </w:tcPr>
          <w:p>
            <w:r>
              <w:t xml:space="preserve">Trained policies</w:t>
            </w:r>
          </w:p>
        </w:tc>
        <w:tc>
          <w:tcPr>
            <w:tcW w:w="0" w:type="auto"/>
          </w:tcPr>
          <w:p>
            <w:r>
              <w:t xml:space="preserve">58 (including 8 discarded pilot policies)</w:t>
            </w:r>
          </w:p>
        </w:tc>
      </w:tr>
      <w:tr>
        <w:tc>
          <w:tcPr>
            <w:tcW w:w="0" w:type="auto"/>
          </w:tcPr>
          <w:p>
            <w:r>
              <w:t xml:space="preserve">Registered experiments</w:t>
            </w:r>
          </w:p>
        </w:tc>
        <w:tc>
          <w:tcPr>
            <w:tcW w:w="0" w:type="auto"/>
          </w:tcPr>
          <w:p>
            <w:r>
              <w:t xml:space="preserve">17</w:t>
            </w:r>
          </w:p>
        </w:tc>
      </w:tr>
      <w:tr>
        <w:tc>
          <w:tcPr>
            <w:tcW w:w="0" w:type="auto"/>
          </w:tcPr>
          <w:p>
            <w:r>
              <w:t xml:space="preserve">Reproducibility audit</w:t>
            </w:r>
          </w:p>
        </w:tc>
        <w:tc>
          <w:tcPr>
            <w:tcW w:w="0" w:type="auto"/>
          </w:tcPr>
          <w:p>
            <w:r>
              <w:t xml:space="preserve">PASS = 23, FAIL = 0, WARN = 1, SKIPPED = 0</w:t>
            </w:r>
          </w:p>
        </w:tc>
      </w:tr>
      <w:tr>
        <w:tc>
          <w:tcPr>
            <w:tcW w:w="0" w:type="auto"/>
          </w:tcPr>
          <w:p>
            <w:r>
              <w:t xml:space="preserve">Immutability audit</w:t>
            </w:r>
          </w:p>
        </w:tc>
        <w:tc>
          <w:tcPr>
            <w:tcW w:w="0" w:type="auto"/>
          </w:tcPr>
          <w:p>
            <w:r>
              <w:t xml:space="preserve">PASS = 14, FAIL = 0</w:t>
            </w:r>
          </w:p>
        </w:tc>
      </w:tr>
    </w:tbl>
    <w:p/>
    <w:p/>
    <w:p>
      <w:r>
        <w:t xml:space="preserve">Reproduction proceeds from a hash-pinned environment:</w:t>
      </w:r>
    </w:p>
    <w:p/>
    <w:p>
      <w:r>
        <w:t xml:space="preserve">`bash</w:t>
      </w:r>
    </w:p>
    <w:p>
      <w:r>
        <w:t xml:space="preserve">python -m venv .venv</w:t>
      </w:r>
    </w:p>
    <w:p>
      <w:r>
        <w:t xml:space="preserve">.venv/bin/python -m pip install --require-hashes -r requirements.lock.txt</w:t>
      </w:r>
    </w:p>
    <w:p>
      <w:r>
        <w:t xml:space="preserve">.venv/bin/python scripts/check_environment.py</w:t>
      </w:r>
    </w:p>
    <w:p>
      <w:r>
        <w:t xml:space="preserve">.venv/bin/python -m pytest -q</w:t>
      </w:r>
    </w:p>
    <w:p>
      <w:r>
        <w:t xml:space="preserve">.venv/bin/python scripts/analyse.py            # regenerates the statistical analysis</w:t>
      </w:r>
    </w:p>
    <w:p>
      <w:r>
        <w:t xml:space="preserve">.venv/bin/python scripts/make_paper_assets.py  # regenerates every figure and table</w:t>
      </w:r>
    </w:p>
    <w:p>
      <w:r>
        <w:t xml:space="preserve">`</w:t>
      </w:r>
    </w:p>
    <w:p/>
    <w:p>
      <w:r>
        <w:t xml:space="preserve">Every figure carries a .source.json provenance companion naming the artefacts it was drawn from, and this manuscript is rendered by a script that reads those artefacts, so no reported number is typed by hand. Full instructions are in the repository's reproduction guide.</w:t>
      </w:r>
    </w:p>
    <w:p/>
    <w:p>
      <w:r>
        <w:t xml:space="preserve">Provenance caveat, stated because a reproducibility claim a reader cannot act on is worse than a stated limitation. Almost all stored evaluation cells were produced while the working tree contained uncommitted changes; their manifests record this as provisional. The recorded commit therefore does not fully determine the code that produced them. The code is committed now, and re-running from the committed state is required to obtain commit-anchored results.</w:t>
      </w:r>
    </w:p>
    <w:p/>
    <w:p>
      <w:r>
        <w:t xml:space="preserve">Software artefact. The repository includes two interactive applications: a research results dashboard, and an operator-facing decision-support prototype that presents the simulated line state, produces dispatch recommendations from the trained policies and compares strategies. Both are demonstration artefacts served locally; neither constitutes deployment, and the prototype does not control railway infrastructure. The prototype reads research artefacts read-only, and its interface labels every displayed quantity with its evidence class so that a simulated demonstration value cannot be read as a research result.</w:t>
      </w:r>
    </w:p>
    <w:p/>
    <w:p>
      <w:pPr>
        <w:pStyle w:val="Heading2"/>
      </w:pPr>
      <w:r>
        <w:t xml:space="preserve">19. Conclusion</w:t>
      </w:r>
    </w:p>
    <w:p/>
    <w:p>
      <w:r>
        <w:t xml:space="preserve">We evaluated whether supplying calibrated demand uncertainty to a reinforcement-learning metro dispatch controller improves passenger service, in a pre-registered, placebo-controlled experiment on a demand-driven simulation environment.</w:t>
      </w:r>
    </w:p>
    <w:p/>
    <w:p>
      <w:r>
        <w:t xml:space="preserve">The registered hypothesis was not supported. The uncertainty-aware controller left more passengers behind than an otherwise identical point-forecast controller (+0.013742; 95% BCa CI [0.006570, 0.018523]; Holm-adjusted p = 0.007741), and also performed worse than a placebo carrying an uninformative signal of identical marginal distribution.</w:t>
      </w:r>
    </w:p>
    <w:p/>
    <w:p>
      <w:r>
        <w:t xml:space="preserve">Rather than improving service, the controller exhibited a systematic conservative dispatch response to genuine forecast uncertainty — approximately 11% fewer dispatches under surge — which the placebo arm did not. Because measured service loss is strongly convex once capacity binds, uncertainty is decision-relevant in this environment and the classical newsvendor argument favours hedging upward; the controller moved in the opposite direction. Combined with the finding that no learned arm outperformed a tuned threshold heuristic, the evidence points toward a policy-learning limitation rather than toward uncertainty information being valueless.</w:t>
      </w:r>
    </w:p>
    <w:p/>
    <w:p>
      <w:r>
        <w:t xml:space="preserve">Controlled negative evidence is informative when the design distinguishes competing explanations. Here a placebo arm and a seed-level unit of analysis were sufficient to overturn an intuition that a less controlled comparison would likely have confirmed. The result characterises the tested controller, configuration, training budget, environment and scenarios; it identifies a concrete failure mode and motivates controlled investigation of uncertainty utilisation, training budget and risk-sensitive policy design.</w:t>
      </w:r>
    </w:p>
    <w:p/>
    <w:p/>
    <w:p/>
    <w:p>
      <w:pPr>
        <w:pStyle w:val="Heading2"/>
      </w:pPr>
      <w:r>
        <w:t xml:space="preserve">References</w:t>
      </w:r>
    </w:p>
    <w:p/>
    <w:p>
      <w:r>
        <w:t xml:space="preserve">1. [cacchiani2014] Cacchiani, V., Huisman, D., Kidd, M., Kroon, L., Toth, P., Veelenturf, L., Wagenaar, J. (2014). An overview of recovery models and algorithms for real-time railway rescheduling. Transportation Research Part B: Methodological, 63, 15–37. https://www.sciencedirect.com/science/article/abs/pii/S0191261514000198</w:t>
      </w:r>
    </w:p>
    <w:p/>
    <w:p>
      <w:r>
        <w:t xml:space="preserve">2. [semrov2016] Šemrov, D., Marsetič, R., Žura, M., Todorovski, L., Srdic, A. (2016). Reinforcement learning approach for train rescheduling on a single-track railway. Transportation Research Part B: Methodological, 86, 250–267. https://www.sciencedirect.com/science/article/abs/pii/S0191261516000084</w:t>
      </w:r>
    </w:p>
    <w:p/>
    <w:p>
      <w:r>
        <w:t xml:space="preserve">3. [yin2016] Yin, J., Tang, T., Yang, L., Gao, Z., Ran, B. (2016). Energy-efficient metro train rescheduling with uncertain time-variant passenger demands: An approximate dynamic programming approach. Transportation Research Part B: Methodological, 91, 178–210. https://www.sciencedirect.com/science/article/abs/pii/S0191261515302241</w:t>
      </w:r>
    </w:p>
    <w:p/>
    <w:p>
      <w:r>
        <w:t xml:space="preserve">4. [yin2017] Yin, J., Yang, L., Tang, T., Gao, Z., Ran, B. (2017). Dynamic passenger demand oriented metro train scheduling with energy-efficiency and waiting time minimization: Mixed-integer linear programming approaches. Transportation Research Part B: Methodological, 97, 182–213. https://www.sciencedirect.com/science/article/abs/pii/S0191261516305082</w:t>
      </w:r>
    </w:p>
    <w:p/>
    <w:p>
      <w:r>
        <w:t xml:space="preserve">5. [trs_survey] [REFERENCE VERIFICATION REQUIRED — author list not returned by search] (1998). A Survey of Optimization Models for Train Routing and Scheduling. Transportation Science, 32(4), 380. https://pubsonline.informs.org/doi/10.1287/trsc.32.4.380</w:t>
      </w:r>
    </w:p>
    <w:p>
      <w:r>
        <w:t xml:space="preserve">[REFERENCE VERIFICATION REQUIRED: confirm authors and year]</w:t>
      </w:r>
    </w:p>
    <w:p/>
    <w:p>
      <w:r>
        <w:t xml:space="preserve">6. [inflow_control] [REFERENCE VERIFICATION REQUIRED — author list not returned by search] (2018). Reinforcement learning approach for coordinated passenger inflow control of urban rail transit in peak hours. Transportation Research Part C: Emerging Technologies. https://www.sciencedirect.com/science/article/pii/S0968090X18300111</w:t>
      </w:r>
    </w:p>
    <w:p>
      <w:r>
        <w:t xml:space="preserve">[REFERENCE VERIFICATION REQUIRED: confirm authors, volume and pages]</w:t>
      </w:r>
    </w:p>
    <w:p/>
    <w:p>
      <w:r>
        <w:t xml:space="preserve">7. [multitask_resched] [REFERENCE VERIFICATION REQUIRED — author list not returned by search] (2024). A multi-task deep reinforcement learning approach to real-time railway train rescheduling. Transportation Research Part E: Logistics and Transportation Review. https://www.sciencedirect.com/science/article/abs/pii/S1366554524004915</w:t>
      </w:r>
    </w:p>
    <w:p>
      <w:r>
        <w:t xml:space="preserve">[REFERENCE VERIFICATION REQUIRED: confirm authors, volume and pages]</w:t>
      </w:r>
    </w:p>
    <w:p/>
    <w:p>
      <w:r>
        <w:t xml:space="preserve">8. [madrl_shortturn] [REFERENCE VERIFICATION REQUIRED — author list not returned by search] (2024). Adaptive rescheduling of rail transit services with short-turnings under disruptions via a multi-agent deep reinforcement learning approach. Transportation Research Part B: Methodological. https://www.sciencedirect.com/science/article/abs/pii/S0191261524001917</w:t>
      </w:r>
    </w:p>
    <w:p>
      <w:r>
        <w:t xml:space="preserve">[REFERENCE VERIFICATION REQUIRED: confirm authors, volume and pages]</w:t>
      </w:r>
    </w:p>
    <w:p/>
    <w:p>
      <w:r>
        <w:t xml:space="preserve">9. [schulman2017] Schulman, J., Wolski, F., Dhariwal, P., Radford, A., Klimov, O. (2017). Proximal Policy Optimization Algorithms. arXiv preprint, arXiv:1707.06347. https://arxiv.org/abs/1707.06347</w:t>
      </w:r>
    </w:p>
    <w:p/>
    <w:p>
      <w:r>
        <w:t xml:space="preserve">10. [henderson2018] Henderson, P., et al. (2018). Deep Reinforcement Learning that Matters. arXiv preprint / AAAI Conference on Artificial Intelligence, arXiv:1709.06560. https://arxiv.org/abs/1709.06560</w:t>
      </w:r>
    </w:p>
    <w:p>
      <w:r>
        <w:t xml:space="preserve">[REFERENCE VERIFICATION REQUIRED: first author and title verified; confirm the full author list and AAAI page range]</w:t>
      </w:r>
    </w:p>
    <w:p/>
    <w:p>
      <w:r>
        <w:t xml:space="preserve">11. [colas2018] Colas, C., et al. (2018). How Many Random Seeds? Statistical Power Analysis in Deep Reinforcement Learning Experiments. arXiv preprint, arXiv:1806.08295. https://arxiv.org/pdf/1806.08295</w:t>
      </w:r>
    </w:p>
    <w:p>
      <w:r>
        <w:t xml:space="preserve">[REFERENCE VERIFICATION REQUIRED: title and identifier verified; confirm the full author list]</w:t>
      </w:r>
    </w:p>
    <w:p/>
    <w:p>
      <w:r>
        <w:t xml:space="preserve">12. [uq_review] [REFERENCE VERIFICATION REQUIRED — author list not returned by search] (2022). A Review of Uncertainty for Deep Reinforcement Learning. Proceedings of the AAAI Conference on Artificial Intelligence and Interactive Digital Entertainment. https://www.researchgate.net/publication/364395789</w:t>
      </w:r>
    </w:p>
    <w:p>
      <w:r>
        <w:t xml:space="preserve">[REFERENCE VERIFICATION REQUIRED: confirm authors, venue and year]</w:t>
      </w:r>
    </w:p>
    <w:p/>
    <w:p>
      <w:r>
        <w:t xml:space="preserve">13. [clements2019] [REFERENCE VERIFICATION REQUIRED — author list not returned by search] (2019). Estimating Risk and Uncertainty in Deep Reinforcement Learning. arXiv preprint, arXiv:1905.09638. https://arxiv.org/pdf/1905.09638</w:t>
      </w:r>
    </w:p>
    <w:p>
      <w:r>
        <w:t xml:space="preserve">[REFERENCE VERIFICATION REQUIRED: confirm authors and any peer-reviewed version]</w:t>
      </w:r>
    </w:p>
    <w:p/>
    <w:p>
      <w:r>
        <w:t xml:space="preserve">14. [uq_demand_gnn] [REFERENCE VERIFICATION REQUIRED — author list not returned by search] (2023). Uncertainty Quantification of Spatiotemporal Travel Demand with Probabilistic Graph Neural Networks. arXiv preprint, arXiv:2303.04040. https://arxiv.org/pdf/2303.04040</w:t>
      </w:r>
    </w:p>
    <w:p>
      <w:r>
        <w:t xml:space="preserve">[REFERENCE VERIFICATION REQUIRED: confirm authors and any peer-reviewed version]</w:t>
      </w:r>
    </w:p>
    <w:p/>
    <w:p>
      <w:r>
        <w:t xml:space="preserve">15. [uq_ridesourcing] [REFERENCE VERIFICATION REQUIRED — author list not returned by search] (2025). Uncertainty quantification for joint demand prediction of multi-modal ride-sourcing services using spatiotemporal Mixture-of-Expert neural network. Transportation Research Part C: Emerging Technologies. https://www.sciencedirect.com/science/article/abs/pii/S0968090X2500511X</w:t>
      </w:r>
    </w:p>
    <w:p>
      <w:r>
        <w:t xml:space="preserve">[REFERENCE VERIFICATION REQUIRED: confirm authors, volume and pages]</w:t>
      </w:r>
    </w:p>
    <w:p/>
    <w:p>
      <w:r>
        <w:t xml:space="preserve">16. [arrow1951] Arrow, K. J., Harris, T., Marschak, J. (1951). Optimal Inventory Policy. Econometrica, 19(3), 250–272. https://www.econometricsociety.org/publications/econometrica/1951/07/01/optimal-inventory-policy</w:t>
      </w:r>
    </w:p>
    <w:p/>
    <w:p>
      <w:r>
        <w:t xml:space="preserve">17. [vanmieghem2002] Van Mieghem, J. A., Rudi, N. (2002). Newsvendor Networks: Inventory Management and Capacity Investment with Discretionary Activities. Manufacturing &amp; Service Operations Management, 4(4). https://www.kellogg.northwestern.edu/faculty/vanmieghem/htm/pubs/vanmieghem_rudi_2002_newsnet_msom.pdf</w:t>
      </w:r>
    </w:p>
    <w:p>
      <w:r>
        <w:t xml:space="preserve">[REFERENCE VERIFICATION REQUIRED: confirm page range]</w:t>
      </w:r>
    </w:p>
    <w:p/>
    <w:p>
      <w:r>
        <w:t xml:space="preserve">18. [dt_railway_review] [REFERENCE VERIFICATION REQUIRED — author list not returned by search] (2025). Digital twin in railway industry: a bibliometric analysis and systematic review. Digital Transportation and Safety (Taylor &amp; Francis). https://www.tandfonline.com/doi/full/10.1080/27525783.2025.2533858</w:t>
      </w:r>
    </w:p>
    <w:p>
      <w:r>
        <w:t xml:space="preserve">[REFERENCE VERIFICATION REQUIRED: confirm authors, journal title, volume and pages]</w:t>
      </w:r>
    </w:p>
    <w:p/>
    <w:p/>
    <w:p/>
    <w:p>
      <w:r>
        <w:t xml:space="preserve">Supplementary material: docs/supplementary_material.md.</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rPr>
  </w:style>
  <w:style w:type="table" w:styleId="TableGrid">
    <w:name w:val="Table Grid"/>
  </w:style>
  <w:style w:type="paragraph" w:styleId="Heading1">
    <w:name w:val="heading 1"/>
    <w:basedOn w:val="Normal"/>
    <w:pPr>
      <w:outlineLvl w:val="0"/>
      <w:spacing w:before="240" w:after="120"/>
    </w:pPr>
    <w:rPr>
      <w:b/>
      <w:sz w:val="30"/>
    </w:rPr>
  </w:style>
  <w:style w:type="paragraph" w:styleId="Heading2">
    <w:name w:val="heading 2"/>
    <w:basedOn w:val="Normal"/>
    <w:pPr>
      <w:outlineLvl w:val="1"/>
      <w:spacing w:before="240" w:after="120"/>
    </w:pPr>
    <w:rPr>
      <w:b/>
      <w:sz w:val="26"/>
    </w:rPr>
  </w:style>
  <w:style w:type="paragraph" w:styleId="Heading3">
    <w:name w:val="heading 3"/>
    <w:basedOn w:val="Normal"/>
    <w:pPr>
      <w:outlineLvl w:val="2"/>
      <w:spacing w:before="240" w:after="120"/>
    </w:pPr>
    <w:rPr>
      <w:b/>
      <w:sz w:val="22"/>
    </w:rPr>
  </w:style>
  <w:style w:type="paragraph" w:styleId="Heading4">
    <w:name w:val="heading 4"/>
    <w:basedOn w:val="Normal"/>
    <w:pPr>
      <w:outlineLvl w:val="3"/>
      <w:spacing w:before="240" w:after="120"/>
    </w:pPr>
    <w:rPr>
      <w:b/>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