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CRYPTOCURRENCY PRICE PREDICTION</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580" w:firstLine="0"/>
        <w:jc w:val="center"/>
        <w:rPr>
          <w:rFonts w:ascii="Arial" w:cs="Arial" w:eastAsia="Arial" w:hAnsi="Arial"/>
          <w:b w:val="0"/>
          <w:i w:val="0"/>
          <w:smallCaps w:val="0"/>
          <w:strike w:val="0"/>
          <w:color w:val="000000"/>
          <w:sz w:val="20"/>
          <w:szCs w:val="20"/>
          <w:u w:val="none"/>
          <w:shd w:fill="auto" w:val="clear"/>
          <w:vertAlign w:val="superscrip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Ragul TN</w:t>
      </w:r>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Karthikeyan I</w:t>
      </w:r>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Vaidyanathan K</w:t>
      </w:r>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Dr.GRHemalakshmi</w:t>
      </w:r>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2</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58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Department of Computer Science and Engineering, National Engineering College,</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58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Kovilpatti,Tamil Nadu.</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58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superscript"/>
          <w:rtl w:val="0"/>
        </w:rPr>
        <w:t xml:space="preserve">      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Assistant Professor (Senior Grade), Department of Computer Science, National Engineering</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2880" w:right="58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College, Kovilpatti, Tamil Nadu, India.</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380" w:firstLine="0"/>
        <w:jc w:val="both"/>
        <w:rPr>
          <w:rFonts w:ascii="Times New Roman" w:cs="Times New Roman" w:eastAsia="Times New Roman" w:hAnsi="Times New Roman"/>
          <w:b w:val="0"/>
          <w:i w:val="0"/>
          <w:smallCaps w:val="0"/>
          <w:strike w:val="0"/>
          <w:color w:val="202124"/>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Abstract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Cryptocurrencies are a form of digital currency where all transactions are conducted electronically. Unlike fiat currency, which is centralized and requires third-party intervention, virtual currency users can access services without intermediaries. This means it exists only in digital form and does not have physical notes or coins. Our study aims to develop efficient prediction models using deep learning techniques, precisely long short-term memory (LSTM) and gated recurrent unit (GRU) to handle Bitcoin's price volatility and achieve high accuracy. We will compare the effectiveness of these two-time series deep learning models and demonstrate their ability to forecast Bitcoin prices.</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38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Keywords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LSTM-Long Short Term Memory, GRU-Gated Recurrent Unit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0" w:right="38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pStyle w:val="Heading1"/>
        <w:keepNext w:val="0"/>
        <w:keepLines w:val="0"/>
        <w:spacing w:before="480" w:line="240" w:lineRule="auto"/>
        <w:ind w:left="270" w:right="380" w:firstLine="0"/>
        <w:jc w:val="both"/>
        <w:rPr>
          <w:rFonts w:ascii="Times New Roman" w:cs="Times New Roman" w:eastAsia="Times New Roman" w:hAnsi="Times New Roman"/>
          <w:b w:val="1"/>
          <w:sz w:val="20"/>
          <w:szCs w:val="20"/>
        </w:rPr>
      </w:pPr>
      <w:bookmarkStart w:colFirst="0" w:colLast="0" w:name="_heading=h.gjdgxs" w:id="0"/>
      <w:bookmarkEnd w:id="0"/>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Introduction</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t xml:space="preserve"> </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Bitcoin has multiplied since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2017, and its price</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has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frequently increased, attracting many</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investors. Its popularity has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reached such</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a level that, in addition to many private companies, a country has recently announced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its acceptance</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as a payment method.</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Not to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mention that central bank</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researchers have been analyzing and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discussing</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it since at least 2014.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most important factors that differentiate</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Bitcoin from other types are.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Currency</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is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characterized by</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its decentralization. That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said,</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unlike other currencies,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bitcoin</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transactions are not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subject to any government processing</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and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control.</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Its money supply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grows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over time,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albeit non-linear, through</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a rewarding "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mining " process. </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Computers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participate</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in solving mathematical equations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by</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brute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force and are rewarded with bitcoins. </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The classic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law of</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supply and demand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determines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the exchange rate of Bitcoin's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price against</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other currencies. </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Similar to any other financial process, bitcoin prices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can</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be predicted by artificial neural network methods. While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implementing</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artificial neural network methods to predict other financial processes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such as </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(e.g.,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stock</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prices) is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long, and due to their novel nature, there</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is not much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literature on the cryptocurrency price prediction. Nevertheless, in recent years, </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many researchers have attempted to create hybrid artificial neural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network models to</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predict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prices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and price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fluctuations in</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cryptocurrency prices,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primarily focusing</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on Bitcoin.</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severe limitation of RNNs is the inability to capture</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long-term dependencies in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sequences. One</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way to handle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situation is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use a long-short-term</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memory (LSTM) variant of RNN.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cryptocurrency market differs from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traditional stock market because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has several new features.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It is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necessary</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to apply new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technologies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suitable for the cryptocurrency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market for forecasting. There is less research</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on cryptocurrency price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predictions than on the stock market.</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algorithm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works great</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for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time series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data such as time series,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voice,</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text, financial data, audio, video, weather,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etc.</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RNNs can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understand sequences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and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their</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context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better than</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other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algorithms. In RNNs,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information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follows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a cycle.</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When making a decision, it considers the current input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nd what it has learned from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previously</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received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inputs.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1A">
      <w:pPr>
        <w:pStyle w:val="Heading1"/>
        <w:keepNext w:val="0"/>
        <w:keepLines w:val="0"/>
        <w:spacing w:before="120" w:line="360" w:lineRule="auto"/>
        <w:rPr>
          <w:rFonts w:ascii="Times New Roman" w:cs="Times New Roman" w:eastAsia="Times New Roman" w:hAnsi="Times New Roman"/>
          <w:b w:val="1"/>
          <w:sz w:val="20"/>
          <w:szCs w:val="20"/>
        </w:rPr>
      </w:pPr>
      <w:bookmarkStart w:colFirst="0" w:colLast="0" w:name="_heading=h.30j0zll" w:id="1"/>
      <w:bookmarkEnd w:id="1"/>
      <w:r w:rsidDel="00000000" w:rsidR="00000000" w:rsidRPr="00000000">
        <w:rPr>
          <w:rtl w:val="0"/>
        </w:rPr>
      </w:r>
    </w:p>
    <w:p w:rsidR="00000000" w:rsidDel="00000000" w:rsidP="00000000" w:rsidRDefault="00000000" w:rsidRPr="00000000" w14:paraId="0000001B">
      <w:pPr>
        <w:pStyle w:val="Heading1"/>
        <w:keepNext w:val="0"/>
        <w:keepLines w:val="0"/>
        <w:spacing w:before="120" w:line="360" w:lineRule="auto"/>
        <w:rPr>
          <w:rFonts w:ascii="Times New Roman" w:cs="Times New Roman" w:eastAsia="Times New Roman" w:hAnsi="Times New Roman"/>
          <w:b w:val="1"/>
          <w:sz w:val="20"/>
          <w:szCs w:val="20"/>
        </w:rPr>
      </w:pPr>
      <w:bookmarkStart w:colFirst="0" w:colLast="0" w:name="_heading=h.1fob9te" w:id="2"/>
      <w:bookmarkEnd w:id="2"/>
      <w:r w:rsidDel="00000000" w:rsidR="00000000" w:rsidRPr="00000000">
        <w:rPr>
          <w:rFonts w:ascii="Times New Roman" w:cs="Times New Roman" w:eastAsia="Times New Roman" w:hAnsi="Times New Roman"/>
          <w:b w:val="1"/>
          <w:sz w:val="20"/>
          <w:szCs w:val="20"/>
          <w:rtl w:val="0"/>
        </w:rPr>
        <w:t xml:space="preserve">2. Related Work</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Sina E. Charandabi, Kamyar Kamyar(2021) -</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The purpose of the study is to examine whether the application of deep learning-based dual-stage Partial Least Square-Structural Equation Modeling (PLS-SEM) &amp; Artificial Neural Network (ANN) analysis enables better in-depth research results as compared to single-step PLS-SEM approach and to excavate factors which can predict behavioural intention to adopt cryptocurrency.</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[2]Ahmed M. Khedr, Ifra Arif, Pravija Raj P V(2021) – Traditional statistical methods require a lot of statistical assumptions that could be unrealistic, leaving machine learning as the best technology in this field.</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This article comprehensively summarises the previous studies in cryptocurrency price prediction from 2010 to 2020. The discussion presented in this article will help researchers fill the gap in existing studies and gain more insight.</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[3]Edwin, Lipo Wang (2017) - Described the features of Bitcoin and the following day's change in the price of Bitcoin using an Artificial Neural Network ensemble. </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The features of Bitcoin and the following day change in the price of Bitcoin using an Artificial Neural Network ensemble approach called Genetic Algorithm-based Selective Neural Network Ensemble, constructed using Multi-Layered Perceptron as the base model for each of the neural network in the ensemble.</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 Yeray Mezquita, Ana Belén Gil-González, Javier Prieto, Juan Manuel Corchado (2021)-</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This paper proposes a platform based on blockchain technology and the multi-agent system paradigm to allow for the creation of an automated peer-to-peer electricity market in micro-grids. Using a permissioned blockchain network has multiple benefits, reducing transaction costs and enabling micro-transactions. </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Lloyd Kasal, Mihir Shetty, Tanmay Nayak, Ramanath Pai, and Shilpa B(2022) proposed that numerous neural networks may be utilized to analyze cryptocurrency values. The most successful of them all has been determined to be LSTM. The key factors used are available price, close price, high price, low price, volume, and market cap with the interdependencies amid some cryptocurrencies, thus centres on evaluating vital features that influence the trade's unpredictability by applying the model to increase the effectiveness of this process.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[6]Ahmed M. Khedr Ifra Arif Pravija Raj P V Magdi El-Bannany (2021)- proposed that </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traditional statistical methods, although simple to implement and interpret, require a lot of statistical assumptions. This article comprehensively summarises the previous studies in cryptocurrency price prediction from 2010 to 2020. The discussion presented in this article will help researchers fill the gap in existing studies and gain more insight.</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Caporale, Guglielmo Maria Plastun, Alex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(2018)-</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A trading robot approach is then used to establish whether these statistical anomalies can be exploited to generate profits. The results suggest that a strategy based on counter-movements after overreactions is not profitable, whilst one based on inertia appears profitable but produces outcomes not statistically different from the random ones.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[8]Al-Yahyaee KH, Mensi W(2020) -Multifractality, long-memory process, and efficiency hypothesis of six significant</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cryptocurrencies using the time-rolling MF-DFA approach.</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The causality between cryptocurrencies and economic factors is undirected. Interestingly, our findings show that cryptocurrencies are insignificant correlations with economic factors. The result implies that cryptocurrencies can not be assumed as financial assets to hedge systematic risks from economic factors.</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[9]Magdi El-Bannany, Saadat M. Alhashmi, Meenu Sreedharan(2016) - Cryptocurrency price prediction using traditional statistical and machine-learning techniques, this type of model approach called Genetic Algorithm based Selective Neural Network Ensemble.</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[10]Ujan Mukhopadhyay; Anthony Skjellum; Oluwakemi; Hambolu; Jon Oakley; Richard Brooks(2022) proposed that Cryptocurrencies require robust and secure mining algorithms. In this paper, we survey and compare and contrast current mining techniques used by major Cryptocurrencies.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Mining adds records of past transactions to the distributed ledger known as Blockchain, allowing users to reach secure, robust consensus for each transaction. Mining also introduces wealth in the form of new units of currency. Cryptocurrencies lack a central authority to mediate transactions because they were designed as peer-to-peer systems</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 Carmine Ventre, Michail Basios, Leslie Kanthan, David Martinez-Rego(2022), This survey analyzes the research distribution that characterizes cryptocurrency Research and distribution among properties.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This also analyzes datasets, research trends and distribution among research objects (contents/properties) and technologies, concluding with promising cryptocurrency trading opportunities.</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 Sina E. Charandabi; Kamyar Kamyar (2021), This survey paper aims to present and compare multiple research papers that employed multiple neural networks.</w:t>
      </w:r>
      <w:r w:rsidDel="00000000" w:rsidR="00000000" w:rsidRPr="00000000">
        <w:rPr>
          <w:rFonts w:ascii="Times New Roman" w:cs="Times New Roman" w:eastAsia="Times New Roman" w:hAnsi="Times New Roman"/>
          <w:b w:val="0"/>
          <w:i w:val="0"/>
          <w:smallCaps w:val="0"/>
          <w:strike w:val="0"/>
          <w:color w:val="000000"/>
          <w:sz w:val="20"/>
          <w:szCs w:val="20"/>
          <w:u w:val="none"/>
          <w:shd w:fill="fcfcfc" w:val="clear"/>
          <w:vertAlign w:val="baseline"/>
          <w:rtl w:val="0"/>
        </w:rPr>
        <w:t xml:space="preserve"> Researchers would be allowed to decide the more suitable direction of work to provide more accurate alternatives to the field.</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 Saeed Alzahrani; Tugrul U. Daim(2019) -Paper suggests that the main factors driving the adoption decision are the acceptance by businesses as a payment method and the fast transfer of funds.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This aims at providing an in-depth analysis of the factors influencing the adoption of cryptocurrency as well as the ranking of these influencing factors based on the quantification of the users' judgments.</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[14]Pravija Raj, Magdi El-Bannany, Saadat M.Alhashmi, Meenu Sreedharan(2021) –Research in this field uses traditional statistical and machine-learning techniques, making it hard to predict using a statistical approach, </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such as Bayesian regression, logistic regression, linear regression, support vector machine, artificial neural network, deep learning, and reinforcement learning. No seasonal effects exist in cryptocurrency, making it hard to predict using a statistical approach. </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 </w:t>
      </w:r>
      <w:hyperlink r:id="rId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George 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Atsalakis(2021) –Fuzzy modelling demonstrating that the closed-loop or feedback control technique can cope with uncertainties associated with the dynamic behaviour of the price of Bitcoin and achieve positive returns.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This study proposes a computational intelligence technique that uses a hybrid Neuro-Fuzzy controller, namely PATSOS, to forecast the direction of the change of Bitcoin's daily price.</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 Methodology</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LSTM (Long Short-Term Memory) is another module provided for RNN. LSTM was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developed and promoted</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by Hochreiter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&amp;</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Schmidhuber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(1997) [3]</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and later by many researchers. Like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RNNs,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LSTM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networks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(LSTM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networks) are</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also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composed</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cyclically coherent modules.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LSTM is an updated version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of</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RNN; the difference is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the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relationship</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between the hidden layers of RNN. The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interpretation</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structure of RNN is shown in Figure 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LSTM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recurrent neural network also has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a similar structure;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another</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difference is the hidden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layer memory unit structure.</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And the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unique three-door</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design effectively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solves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the gradient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problem.</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LSTM memory structure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hidden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layers.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4800600" cy="1809750"/>
            <wp:effectExtent b="0" l="0" r="0" t="0"/>
            <wp:docPr id="4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8006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ab/>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 3.1: LSTM architecture</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Some things in</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the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show that</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RNN has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flaws. Faults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can be seen in the input X0, X1 has 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lot</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miscellaneous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information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Xt,</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Xt+1 so that when 1+1 information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needs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those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related</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X0, X1 to RNN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cannot</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learn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Because the association of</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information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stored in</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old memory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becomes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increasingly useless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over time</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as it is overwritten or replaced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by</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new memory,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Bengio</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et al.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(1994) [22].</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Unlike RNN, LSTM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has no drawback</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in that LSTM can manage memory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each input using memory cells and gate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cells. The prediction</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is the easy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part. It</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involves taking prepared input data (X) and calling one of the Keras prediction methods on the loaded model.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input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make predictions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(X)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contains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only the input sequence data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needed</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to make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predictions,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not all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previous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training data. In the case of predicting the next value in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sequence, the input sequence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will</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be 1 sample with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fixed number of time steps and features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used.</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The predictive model calculates future predictions using a new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autoregressive</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scheme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called the</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autoregressive moving pointer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model</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Initially,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AMPM is used to generate</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input-output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pairs, given</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these input-output pairs and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generat</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e future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predictions.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The next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step</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is to form an optimal portfolio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based on</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these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predictions, assuming a normal distribution of</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stock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prices.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114300</wp:posOffset>
            </wp:positionV>
            <wp:extent cx="4163614" cy="3891149"/>
            <wp:effectExtent b="0" l="0" r="0" t="0"/>
            <wp:wrapNone/>
            <wp:docPr id="4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163614" cy="3891149"/>
                    </a:xfrm>
                    <a:prstGeom prst="rect"/>
                    <a:ln/>
                  </pic:spPr>
                </pic:pic>
              </a:graphicData>
            </a:graphic>
          </wp:anchor>
        </w:drawing>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Fig 3.2: Workflow diagram</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Statistical methods include the logistic regression model, ARCH model, etc. Artificial intelligence methods include multi-layer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perceptrons,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convolutional neural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networks,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naive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bayesian networks, backpropagation networks,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single-layer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LSTMs,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support vector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machines,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recurrent neural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networks,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etc.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Long-short-term</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memory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(LSTM) network.</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3.1.Long Short Term Memory (LSTM)</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LSTM is a unique network structure with three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"gate"</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structures. Three gates are placed in an LSTM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cell</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entry</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gate,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forget</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gate, and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exit</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gate. Information entering the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LSTM</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network can be selected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according to</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rules. Only information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that</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conforms to the algorithm will be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retained,</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and the forgetting gate will forget information that does not conform. </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292929"/>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92929"/>
          <w:sz w:val="20"/>
          <w:szCs w:val="20"/>
          <w:highlight w:val="white"/>
          <w:u w:val="none"/>
          <w:vertAlign w:val="baseline"/>
          <w:rtl w:val="0"/>
        </w:rPr>
        <w:t xml:space="preserve">LSTMs use a series of "gates" to control how information from a data series enters, stores, and leaves the network. There are three doors in a typical LSTM; the door of oblivion, the door of entry and the door of exit. These gates can be considered filters, and each is its neural network. This network (within the forgetting gate) is trained to have an output close to 0 when a component of the input is considered irrelevant and close to 1 when it is relevant. It is helpful to think of each element of this vector as a filter/sifter, allowing more information to pass as the values ​​approach 1. These output values ​​are then sent and multiplied point by point by the previous state of the cell.</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292929"/>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92929"/>
          <w:sz w:val="20"/>
          <w:szCs w:val="20"/>
          <w:highlight w:val="white"/>
          <w:u w:val="none"/>
          <w:vertAlign w:val="baseline"/>
          <w:rtl w:val="0"/>
        </w:rPr>
        <w:t xml:space="preserve">In summary, the forget gate decides which pieces of long-term memory should now be forgotten (with less weight) given the previous hidden state and the new data points in the queue.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3.2.</w:t>
      </w: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Recurrent Neural Network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(RNN)</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A recurrent neural network (RNN) is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artificial neural network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that</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uses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temporal</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or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chronological</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data. These deep learning algorithms are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often</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used for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sequential</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or temporal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problems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such as language translation, natural language processing (NLP), speech recognition, and image captioning;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they're built</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into popular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apps like</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Siri, voice search, and Google Translate. Like feedforward and convolutional neural networks (CNNs), recurrent neural networks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training data to learn. They are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known for</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their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"memory"</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as they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retrieve</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information from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past entries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to influence current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entries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and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exits. Traditional</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deep neural networks assume that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input</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and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are independent of each other,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while</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recurrent neural networks' output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depends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on the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sequence's previous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elements.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Although</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future events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can</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also be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used to determine</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the output of a given sequence,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one-way</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recurrent neural networks cannot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factor</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these events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into</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their predictions.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3.3.Convolutional Neural Networks (CNNs)</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CNN is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artificial neural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network</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widely used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image/object recognition and classification.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Therefore, deep learning uses CNNs to recognize objects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in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images. CNNs play</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an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essent</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ial role in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various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tasks/functions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such as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image processing problems, computer vision tasks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such as localization</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and segmentation, video analysis,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identification of</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obstacles in self-driving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cars and</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speech recognition in natural language processing.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Since</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CNNs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play an </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essential role in these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emerging</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and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rapidly developing fields,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they are trendy in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deep learning.</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CNNs are another type of neural network that can reveal critical information in time series and image data. Therefore, it benefits image-related tasks, such as image recognition, object classification, and pattern recognition. To recognize patterns in images, CNNs use the principles of linear algebra, such as matrix multiplication. CNNs can also classify audio and signal data. The architecture of CNN is similar to the connection model of the human brain. Just as the brain is made up of billions of neurons, a CNN has neurons arranged in a specific way. The neural arrangement of the CNN resembles the frontal lobe of the brain, the area responsible for processing visual stimuli. This arrangement ensures that the entire field of view is covered, avoiding traditional neural networks' segmented image processing problems, which must segment input images at lower resolutions. Compared to older networks, CNNs perform better on image and voice or audio signal inputs. A deep-learning CNN consists of the convolutional, pooling, and fully connected (FC) layers. The convolutional layer is the first layer and the FC layer is the last layer. The complexity of CNN increases from convolutional layers to fully connected layers. This increasing complexity allows a CNN to continuously recognize more significant parts of an image and more complex features until it finally recognizes the entire object. Analyze and represent human language.</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3.4.Natural Language Processing (NLP)</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292929"/>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ab/>
        <w:t xml:space="preserve">NLP-based systems have enabled a wide range of applications, such as Google's powerful search engine and, more recently, Amazon's voice assistant, Alexa. NLP also helps teach machines the ability to perform complex natural language tasks, such as machine translation and dialogue generation. NLP can recognize and predict disease based on electronic health records and patients' speech. This ability is being studied in health conditions ranging from cardiovascular disease to depression and even schizophrenia. For example, Amazon Comprehend Medical is a service that uses NLP to extract disease states, medications, and treatment outcomes from patient medical records, clinical trial reports, and other electronic health records. Organizations can determine what customers are saying about a service or product by identifying and extracting information from sources such as social media. This sentiment analysis can provide insight into customer choices and the drivers behind their decisions. NLP is also used in the search and selection phase of talent acquisition, identifying the skills of potential recruits and scouting them before they become active in the job market. </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 Result and Discussion</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LSTM is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a complex area of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​​deep</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learning. LSTMs are often referred to as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sophisticated</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RNNs. Vanilla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RNN has no cellular</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state. They only have hidden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states, which</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serve as the memory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of the RNN. At the same time,</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LSTM has both a cell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state</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and a hidden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state, and our proposed</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model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successfully provided Yahoo Finance stock market results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to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predict Bitcoin. A long-short-term memory</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(LSTM)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network is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a recurrent neural network capable of learning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sequence dependencies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in prediction problems. This is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desired</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w:t>
      </w:r>
      <w:r w:rsidDel="00000000" w:rsidR="00000000" w:rsidRPr="00000000">
        <w:rPr>
          <w:rFonts w:ascii="Times New Roman" w:cs="Times New Roman" w:eastAsia="Times New Roman" w:hAnsi="Times New Roman"/>
          <w:sz w:val="20"/>
          <w:szCs w:val="20"/>
          <w:highlight w:val="white"/>
          <w:rtl w:val="0"/>
        </w:rPr>
        <w:t xml:space="preserve">behavior</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in complex problem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areas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like machine translation, speech recognition,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etc.</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Our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models using</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time series techniques can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provide</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results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that</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predict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prices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for the next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few</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days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by splitting</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the data to train and test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what</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we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mentioned</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in the article above. </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943600" cy="2400300"/>
            <wp:effectExtent b="0" l="0" r="0" t="0"/>
            <wp:docPr id="4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Fig 4.1: Importing Library</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943600" cy="2692400"/>
            <wp:effectExtent b="0" l="0" r="0" t="0"/>
            <wp:docPr id="4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Fig 4.2: Loading Dataset</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943600" cy="2374900"/>
            <wp:effectExtent b="0" l="0" r="0" t="0"/>
            <wp:docPr id="4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Fig 4.3: Fixing Range for data</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943600" cy="1790700"/>
            <wp:effectExtent b="0" l="0" r="0" t="0"/>
            <wp:docPr id="5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Fig 4.4: Checking for Null values</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943600" cy="1473200"/>
            <wp:effectExtent b="0" l="0" r="0" t="0"/>
            <wp:docPr id="49"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Fig 4.5: Exploratory Data Analysis</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943600" cy="2717800"/>
            <wp:effectExtent b="0" l="0" r="0" t="0"/>
            <wp:docPr id="5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Fig 4.6: Analysis of the year 2014</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943600" cy="2184400"/>
            <wp:effectExtent b="0" l="0" r="0" t="0"/>
            <wp:docPr id="52"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Fig 4.7: The year 2014 Monthwise bitcoin price</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943600" cy="2705100"/>
            <wp:effectExtent b="0" l="0" r="0" t="0"/>
            <wp:docPr id="58"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Fig 4.8: Bitcoin analysis chart 2014</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943600" cy="2679700"/>
            <wp:effectExtent b="0" l="0" r="0" t="0"/>
            <wp:docPr id="55"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Fig 4.9: Analysis of the year 2015 and 2016</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943600" cy="2641600"/>
            <wp:effectExtent b="0" l="0" r="0" t="0"/>
            <wp:docPr id="5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Fig 4.10: The year 2016 month-wise price</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943600" cy="2603500"/>
            <wp:effectExtent b="0" l="0" r="0" t="0"/>
            <wp:docPr id="59"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Fig 4.11: Bitcoin analysis chart 2016</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943600" cy="2705100"/>
            <wp:effectExtent b="0" l="0" r="0" t="0"/>
            <wp:docPr id="60"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Fig 4.12: Analysis of the year 2017</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943600" cy="2730500"/>
            <wp:effectExtent b="0" l="0" r="0" t="0"/>
            <wp:docPr id="61"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Fig 4.13: Analysis of the year 2017</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943600" cy="2705100"/>
            <wp:effectExtent b="0" l="0" r="0" t="0"/>
            <wp:docPr id="62"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Fig 4.14: Analysis of the year 2018</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943600" cy="2654300"/>
            <wp:effectExtent b="0" l="0" r="0" t="0"/>
            <wp:docPr id="63"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Fig 4.15: Bitcoin analysis chart 2018</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943600" cy="2730500"/>
            <wp:effectExtent b="0" l="0" r="0" t="0"/>
            <wp:docPr id="64"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Fig 4.16: Analysis of the year 2019</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943600" cy="2641600"/>
            <wp:effectExtent b="0" l="0" r="0" t="0"/>
            <wp:docPr id="65"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Fig 4.17: Bitcoin analysis chart 2019</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943600" cy="2743200"/>
            <wp:effectExtent b="0" l="0" r="0" t="0"/>
            <wp:docPr id="66"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Fig 4.18: Analysis of the year 2020</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943600" cy="2628900"/>
            <wp:effectExtent b="0" l="0" r="0" t="0"/>
            <wp:docPr id="34"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Fig 4.19: Bitcoin analysis chart 2020</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943600" cy="2717800"/>
            <wp:effectExtent b="0" l="0" r="0" t="0"/>
            <wp:docPr id="35"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Fig 4.20: Analysis of the year 2021</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943600" cy="2692400"/>
            <wp:effectExtent b="0" l="0" r="0" t="0"/>
            <wp:docPr id="36"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Fig 4.21: Bitcoin analysis chart 2021</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943600" cy="2717800"/>
            <wp:effectExtent b="0" l="0" r="0" t="0"/>
            <wp:docPr id="37"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Fig 4.22: Month-wise comparison of stock open and close</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943600" cy="2628900"/>
            <wp:effectExtent b="0" l="0" r="0" t="0"/>
            <wp:docPr id="38"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Fig 4.23:Stock analysis chart</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943600" cy="2717800"/>
            <wp:effectExtent b="0" l="0" r="0" t="0"/>
            <wp:docPr id="39"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Fig 4.24: Overall Analysis</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943600" cy="2654300"/>
            <wp:effectExtent b="0" l="0" r="0" t="0"/>
            <wp:docPr id="40"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Fig 4.25: Stock Analysis of prices</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943600" cy="2717800"/>
            <wp:effectExtent b="0" l="0" r="0" t="0"/>
            <wp:docPr id="41"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Fig 4.26 : LSTM Model</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943600" cy="2705100"/>
            <wp:effectExtent b="0" l="0" r="0" t="0"/>
            <wp:docPr id="42"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Fig 4.27: Timeframe of bitcoin price</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943600" cy="2476500"/>
            <wp:effectExtent b="0" l="0" r="0" t="0"/>
            <wp:docPr id="43"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Fig 4.28: Considered period to Predict bitcoin</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829300" cy="2543175"/>
            <wp:effectExtent b="0" l="0" r="0" t="0"/>
            <wp:docPr id="51" name="image10.png"/>
            <a:graphic>
              <a:graphicData uri="http://schemas.openxmlformats.org/drawingml/2006/picture">
                <pic:pic>
                  <pic:nvPicPr>
                    <pic:cNvPr id="0" name="image10.png"/>
                    <pic:cNvPicPr preferRelativeResize="0"/>
                  </pic:nvPicPr>
                  <pic:blipFill>
                    <a:blip r:embed="rId38"/>
                    <a:srcRect b="5652" l="0" r="1923" t="0"/>
                    <a:stretch>
                      <a:fillRect/>
                    </a:stretch>
                  </pic:blipFill>
                  <pic:spPr>
                    <a:xfrm>
                      <a:off x="0" y="0"/>
                      <a:ext cx="58293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Fig 4.29: Model Evaluation</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943600" cy="2425700"/>
            <wp:effectExtent b="0" l="0" r="0" t="0"/>
            <wp:docPr id="53"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943600" cy="24257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Fig 4.30: Comparison between original and predicted price</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943600" cy="2171700"/>
            <wp:effectExtent b="0" l="0" r="0" t="0"/>
            <wp:docPr id="56"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Fig 4.31: Closing Stock price with prediction</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 Conclusion</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LSTM</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is an artificial recurrent neural network architecture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deep learning. Unlike standard neural networks,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LSTMs have</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feedback connections. It can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handle</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not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just</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single data points but entire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ranges. A long-short-term memory</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(LSTM)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network is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a recurrent neural network capable of learning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sequence dependencies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in prediction problems. This is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desired</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behaviour in complex problem domains like machine translation, speech recognition,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etc.</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LSTMs are a complex area of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​​deep</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learning. LSTMs are often referred to as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sophisticated</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RNNs. Vanilla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RNN has no cellular</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state. They only have hidden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states, which</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serve as the memory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of the RNN.</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Meanwhile, LSTM has both a cell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state</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and a hidden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state.</w:t>
      </w:r>
    </w:p>
    <w:p w:rsidR="00000000" w:rsidDel="00000000" w:rsidP="00000000" w:rsidRDefault="00000000" w:rsidRPr="00000000" w14:paraId="000000A2">
      <w:pPr>
        <w:pStyle w:val="Heading1"/>
        <w:keepNext w:val="0"/>
        <w:keepLines w:val="0"/>
        <w:spacing w:before="120" w:line="360" w:lineRule="auto"/>
        <w:rPr>
          <w:rFonts w:ascii="Times New Roman" w:cs="Times New Roman" w:eastAsia="Times New Roman" w:hAnsi="Times New Roman"/>
          <w:b w:val="1"/>
          <w:sz w:val="20"/>
          <w:szCs w:val="20"/>
        </w:rPr>
      </w:pPr>
      <w:bookmarkStart w:colFirst="0" w:colLast="0" w:name="_heading=h.3znysh7" w:id="3"/>
      <w:bookmarkEnd w:id="3"/>
      <w:r w:rsidDel="00000000" w:rsidR="00000000" w:rsidRPr="00000000">
        <w:rPr>
          <w:rFonts w:ascii="Times New Roman" w:cs="Times New Roman" w:eastAsia="Times New Roman" w:hAnsi="Times New Roman"/>
          <w:b w:val="1"/>
          <w:sz w:val="20"/>
          <w:szCs w:val="20"/>
          <w:rtl w:val="0"/>
        </w:rPr>
        <w:t xml:space="preserve">5. References</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Sina E. Charandabi, Kamyar Kamyar(2021) -Prediction of Cryptocurrency Price Index Using Artificial Neural Networks, Proposed hybrid artificial neural network models to predict prices of cryptocurrency.</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[2]Ahmed M. Khedr, Ifra Arif, Pravija Raj P V(2021) – Traditional statistical methods require a lot of statistical assumptions that could be unrealistic, leaving machine learning as the best technology in this field.</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[3]Edwin, Lipo Wang (2017) - Described the features of Bitcoin and the following day's change in the price of Bitcoin using an Artificial Neural Network ensemble. </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 Yeray Mezquita, Ana Belén Gil-González, Javier Prieto, and Juan Manuel Corchado (2021)-described that the solutions proposed are for detecting patterns and anomalies in cryptocurrency ecosystems.</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Lloyd Kasal, Mihir Shetty, Tanmay Nayak, Ramanath Pai, and Shilpa B(2022) proposed that numerous different kinds of neural networks may be utilized to analyse cryptocurrency values. The most successful of them all has been determined to be LSTM.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[6]Ahmed M. Khedr Ifra Arif Pravija Raj P V Magdi El-Bannany (2021)- proposed that </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traditional statistical methods, although simple to implement and interpret, require a lot of statistical assumptions</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Caporale, Guglielmo Maria Plastun, Alex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(2018),-</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Cryptocurrency market Bitcoin overreaction momentum abnormal returns contrarian strategy trading robot.</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2e2e2e"/>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Al-Yahyaee KH, Mensi W</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(2020) -</w:t>
      </w:r>
      <w:r w:rsidDel="00000000" w:rsidR="00000000" w:rsidRPr="00000000">
        <w:rPr>
          <w:rFonts w:ascii="Times New Roman" w:cs="Times New Roman" w:eastAsia="Times New Roman" w:hAnsi="Times New Roman"/>
          <w:b w:val="0"/>
          <w:i w:val="0"/>
          <w:smallCaps w:val="0"/>
          <w:strike w:val="0"/>
          <w:color w:val="2e2e2e"/>
          <w:sz w:val="20"/>
          <w:szCs w:val="20"/>
          <w:u w:val="none"/>
          <w:shd w:fill="auto" w:val="clear"/>
          <w:vertAlign w:val="baseline"/>
          <w:rtl w:val="0"/>
        </w:rPr>
        <w:t xml:space="preserve">Multifractality, long-memory process, and efficiency hypothesis of six major</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e2e2e"/>
          <w:sz w:val="20"/>
          <w:szCs w:val="20"/>
          <w:u w:val="none"/>
          <w:shd w:fill="auto" w:val="clear"/>
          <w:vertAlign w:val="baseline"/>
          <w:rtl w:val="0"/>
        </w:rPr>
        <w:t xml:space="preserve">cryptocurrencies using the time-rolling MF-DFA approach</w:t>
      </w:r>
      <w:r w:rsidDel="00000000" w:rsidR="00000000" w:rsidRPr="00000000">
        <w:rPr>
          <w:rFonts w:ascii="Arial" w:cs="Arial" w:eastAsia="Arial" w:hAnsi="Arial"/>
          <w:b w:val="0"/>
          <w:i w:val="0"/>
          <w:smallCaps w:val="0"/>
          <w:strike w:val="0"/>
          <w:color w:val="2e2e2e"/>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[9]Magdi El-Bannany, Saadat M. Alhashmi, Meenu Sreedharan(2016) - Cryptocurrency price prediction using traditional statistical and machine-learning techniques, this type of model approach called Genetic Algorithm based Selective Neural Network Ensemble.</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[10]Ujan Mukhopadhyay; Anthony Skjellum; Oluwakemi; Hambolu; Jon Oakley; Richard Brooks(2022) proposed that Cryptocurrencies require robust and secure mining algorithms. In this paper, we survey and compare and contrast current mining techniques used by major Cryptocurrencies.</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 Carmine Ventre, Michail Basios, Leslie Kanthan, David Martinez-Rego(2022), This survey analyzes the research distribution that characterizes cryptocurrency Research and distribution among properties.</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 Sina E. Charandabi; Kamyar Kamyar (2021), This survey paper aims to present and compare multiple research papers that employed multiple neural networks.</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 Saeed Alzahrani; Tugrul U. Daim(2019) -Paper suggests that the main factors driving the adoption decision are the acceptance by businesses as a payment method and the fast transfer of funds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[14]Pravija Raj, Magdi El-Bannany, Saadat M.Alhashmi, Meenu Sreedharan(2021) –Research in this field uses traditional statistical and machine-learning techniques, making it hard to predict using a statistical approach.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 </w:t>
      </w:r>
      <w:hyperlink r:id="rId4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George 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Atsalakis(2021) –Fuzzy modelling demonstrating that the closed-loop or feedback control technique can cope with uncertainties associated with the dynamic behaviour of the price of Bitcoin, and achieve positive returns.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ectPr>
      <w:headerReference r:id="rId4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qFormat w:val="1"/>
    <w:rsid w:val="004B77B5"/>
  </w:style>
  <w:style w:type="paragraph" w:styleId="Heading1">
    <w:name w:val="heading 1"/>
    <w:basedOn w:val="normal0"/>
    <w:next w:val="normal0"/>
    <w:pPr>
      <w:keepNext w:val="1"/>
      <w:keepLines w:val="1"/>
      <w:pageBreakBefore w:val="0"/>
      <w:spacing w:after="120" w:before="400"/>
      <w:outlineLvl w:val="0"/>
    </w:pPr>
    <w:rPr>
      <w:sz w:val="40"/>
      <w:szCs w:val="40"/>
    </w:rPr>
  </w:style>
  <w:style w:type="paragraph" w:styleId="Heading2">
    <w:name w:val="heading 2"/>
    <w:basedOn w:val="normal0"/>
    <w:next w:val="normal0"/>
    <w:pPr>
      <w:keepNext w:val="1"/>
      <w:keepLines w:val="1"/>
      <w:pageBreakBefore w:val="0"/>
      <w:spacing w:after="120" w:before="360"/>
      <w:outlineLvl w:val="1"/>
    </w:pPr>
    <w:rPr>
      <w:b w:val="0"/>
      <w:sz w:val="32"/>
      <w:szCs w:val="32"/>
    </w:rPr>
  </w:style>
  <w:style w:type="paragraph" w:styleId="Heading3">
    <w:name w:val="heading 3"/>
    <w:basedOn w:val="normal0"/>
    <w:next w:val="normal0"/>
    <w:pPr>
      <w:keepNext w:val="1"/>
      <w:keepLines w:val="1"/>
      <w:pageBreakBefore w:val="0"/>
      <w:spacing w:after="80" w:before="320"/>
      <w:outlineLvl w:val="2"/>
    </w:pPr>
    <w:rPr>
      <w:b w:val="0"/>
      <w:color w:val="434343"/>
      <w:sz w:val="28"/>
      <w:szCs w:val="28"/>
    </w:rPr>
  </w:style>
  <w:style w:type="paragraph" w:styleId="Heading4">
    <w:name w:val="heading 4"/>
    <w:basedOn w:val="normal0"/>
    <w:next w:val="normal0"/>
    <w:pPr>
      <w:keepNext w:val="1"/>
      <w:keepLines w:val="1"/>
      <w:pageBreakBefore w:val="0"/>
      <w:spacing w:after="80" w:before="280"/>
      <w:outlineLvl w:val="3"/>
    </w:pPr>
    <w:rPr>
      <w:color w:val="666666"/>
      <w:sz w:val="24"/>
      <w:szCs w:val="24"/>
    </w:rPr>
  </w:style>
  <w:style w:type="paragraph" w:styleId="Heading5">
    <w:name w:val="heading 5"/>
    <w:basedOn w:val="normal0"/>
    <w:next w:val="normal0"/>
    <w:pPr>
      <w:keepNext w:val="1"/>
      <w:keepLines w:val="1"/>
      <w:pageBreakBefore w:val="0"/>
      <w:spacing w:after="80" w:before="240"/>
      <w:outlineLvl w:val="4"/>
    </w:pPr>
    <w:rPr>
      <w:color w:val="666666"/>
      <w:sz w:val="22"/>
      <w:szCs w:val="22"/>
    </w:rPr>
  </w:style>
  <w:style w:type="paragraph" w:styleId="Heading6">
    <w:name w:val="heading 6"/>
    <w:basedOn w:val="normal0"/>
    <w:next w:val="normal0"/>
    <w:pPr>
      <w:keepNext w:val="1"/>
      <w:keepLines w:val="1"/>
      <w:pageBreakBefore w:val="0"/>
      <w:spacing w:after="80" w:before="240"/>
      <w:outlineLvl w:val="5"/>
    </w:pPr>
    <w:rPr>
      <w:i w:val="1"/>
      <w:color w:val="666666"/>
      <w:sz w:val="22"/>
      <w:szCs w:val="22"/>
    </w:rPr>
  </w:style>
  <w:style w:type="character" w:styleId="DefaultParagraphFont" w:default="1">
    <w:name w:val="Default Paragraph Font"/>
    <w:uiPriority w:val="1"/>
    <w:semiHidden w:val="1"/>
    <w:unhideWhenUsed w:val="1"/>
  </w:style>
  <w:style w:type="paragraph" w:styleId="normal0" w:customStyle="1">
    <w:name w:val="normal"/>
  </w:style>
  <w:style w:type="table" w:styleId="TableNormal" w:customStyle="1">
    <w:name w:val="Table Normal"/>
    <w:tblPr/>
  </w:style>
  <w:style w:type="paragraph" w:styleId="Title">
    <w:name w:val="Title"/>
    <w:basedOn w:val="normal0"/>
    <w:next w:val="normal0"/>
    <w:pPr>
      <w:keepNext w:val="1"/>
      <w:keepLines w:val="1"/>
      <w:pageBreakBefore w:val="0"/>
      <w:spacing w:after="60" w:before="0"/>
    </w:pPr>
    <w:rPr>
      <w:sz w:val="52"/>
      <w:szCs w:val="52"/>
    </w:rPr>
  </w:style>
  <w:style w:type="paragraph" w:styleId="Subtitle">
    <w:name w:val="Subtitle"/>
    <w:basedOn w:val="normal0"/>
    <w:next w:val="normal0"/>
    <w:pPr>
      <w:keepNext w:val="1"/>
      <w:keepLines w:val="1"/>
      <w:pageBreakBefore w:val="0"/>
      <w:spacing w:after="320" w:before="0"/>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20" Type="http://schemas.openxmlformats.org/officeDocument/2006/relationships/image" Target="media/image28.png"/><Relationship Id="rId42" Type="http://schemas.openxmlformats.org/officeDocument/2006/relationships/header" Target="header1.xml"/><Relationship Id="rId41" Type="http://schemas.openxmlformats.org/officeDocument/2006/relationships/hyperlink" Target="https://www.sciencedirect.com/science/article/pii/S037722171930075X#!" TargetMode="External"/><Relationship Id="rId22" Type="http://schemas.openxmlformats.org/officeDocument/2006/relationships/image" Target="media/image18.png"/><Relationship Id="rId21" Type="http://schemas.openxmlformats.org/officeDocument/2006/relationships/image" Target="media/image33.png"/><Relationship Id="rId24" Type="http://schemas.openxmlformats.org/officeDocument/2006/relationships/image" Target="media/image30.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9.png"/><Relationship Id="rId25" Type="http://schemas.openxmlformats.org/officeDocument/2006/relationships/image" Target="media/image24.png"/><Relationship Id="rId28" Type="http://schemas.openxmlformats.org/officeDocument/2006/relationships/image" Target="media/image7.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7.png"/><Relationship Id="rId7" Type="http://schemas.openxmlformats.org/officeDocument/2006/relationships/hyperlink" Target="https://www.sciencedirect.com/science/article/pii/S037722171930075X#!" TargetMode="External"/><Relationship Id="rId8" Type="http://schemas.openxmlformats.org/officeDocument/2006/relationships/image" Target="media/image4.png"/><Relationship Id="rId31" Type="http://schemas.openxmlformats.org/officeDocument/2006/relationships/image" Target="media/image8.png"/><Relationship Id="rId30" Type="http://schemas.openxmlformats.org/officeDocument/2006/relationships/image" Target="media/image31.png"/><Relationship Id="rId11" Type="http://schemas.openxmlformats.org/officeDocument/2006/relationships/image" Target="media/image9.png"/><Relationship Id="rId33" Type="http://schemas.openxmlformats.org/officeDocument/2006/relationships/image" Target="media/image1.png"/><Relationship Id="rId10" Type="http://schemas.openxmlformats.org/officeDocument/2006/relationships/image" Target="media/image3.png"/><Relationship Id="rId32" Type="http://schemas.openxmlformats.org/officeDocument/2006/relationships/image" Target="media/image13.png"/><Relationship Id="rId13" Type="http://schemas.openxmlformats.org/officeDocument/2006/relationships/image" Target="media/image12.png"/><Relationship Id="rId35" Type="http://schemas.openxmlformats.org/officeDocument/2006/relationships/image" Target="media/image15.png"/><Relationship Id="rId12" Type="http://schemas.openxmlformats.org/officeDocument/2006/relationships/image" Target="media/image5.png"/><Relationship Id="rId34" Type="http://schemas.openxmlformats.org/officeDocument/2006/relationships/image" Target="media/image6.png"/><Relationship Id="rId15" Type="http://schemas.openxmlformats.org/officeDocument/2006/relationships/image" Target="media/image16.png"/><Relationship Id="rId37" Type="http://schemas.openxmlformats.org/officeDocument/2006/relationships/image" Target="media/image21.png"/><Relationship Id="rId14" Type="http://schemas.openxmlformats.org/officeDocument/2006/relationships/image" Target="media/image20.png"/><Relationship Id="rId36" Type="http://schemas.openxmlformats.org/officeDocument/2006/relationships/image" Target="media/image2.png"/><Relationship Id="rId17" Type="http://schemas.openxmlformats.org/officeDocument/2006/relationships/image" Target="media/image25.png"/><Relationship Id="rId39" Type="http://schemas.openxmlformats.org/officeDocument/2006/relationships/image" Target="media/image23.png"/><Relationship Id="rId16" Type="http://schemas.openxmlformats.org/officeDocument/2006/relationships/image" Target="media/image22.png"/><Relationship Id="rId38" Type="http://schemas.openxmlformats.org/officeDocument/2006/relationships/image" Target="media/image10.png"/><Relationship Id="rId19" Type="http://schemas.openxmlformats.org/officeDocument/2006/relationships/image" Target="media/image14.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pj8galZMKdgGPpdL7A0zVgBS5bg==">AMUW2mVoZhrtLIp40c9C1e+VzMib3sM8nlDSj6UIW/9srCObdgqK+y4S5Z9to4baengn7DKSzjCyQ73pCI05fVwWmUpnBz7qa2x7WtSvAlVoiFgD2p0rgZBcsKM2AC1Ixa4KAT+rNYSGxJDKp93fmhopHhPbPnTvLYEPiBDWz/sRgFV0efVfUL4=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