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 STUDYBUDDY</w:t>
      </w:r>
    </w:p>
    <w:p>
      <w:pPr>
        <w:jc w:val="center"/>
      </w:pPr>
      <w:r>
        <w:rPr>
          <w:b/>
          <w:sz w:val="40"/>
        </w:rPr>
        <w:t>(LearnMate)</w:t>
      </w:r>
    </w:p>
    <w:p>
      <w:pPr>
        <w:jc w:val="center"/>
      </w:pPr>
      <w:r>
        <w:rPr>
          <w:b/>
          <w:sz w:val="36"/>
        </w:rPr>
        <w:t>PHASE 2</w:t>
      </w:r>
    </w:p>
    <w:p>
      <w:pPr>
        <w:jc w:val="center"/>
      </w:pPr>
      <w:r>
        <w:rPr>
          <w:b/>
          <w:sz w:val="32"/>
        </w:rPr>
        <w:t>System Architecture &amp; Data Design</w:t>
      </w:r>
    </w:p>
    <w:p>
      <w:pPr>
        <w:jc w:val="center"/>
      </w:pPr>
      <w:r>
        <w:rPr>
          <w:sz w:val="24"/>
        </w:rPr>
        <w:t>Technical Documentation</w:t>
      </w:r>
    </w:p>
    <w:p>
      <w:r>
        <w:br w:type="page"/>
      </w:r>
    </w:p>
    <w:p>
      <w:pPr>
        <w:pStyle w:val="Heading1"/>
      </w:pPr>
      <w:r>
        <w:t>1. Phase 2 Scope</w:t>
      </w:r>
    </w:p>
    <w:p>
      <w:pPr>
        <w:spacing w:after="120"/>
      </w:pPr>
      <w:r>
        <w:t>Phase 2 documents the architectural and data-design foundation of AI StudyBuddy. It covers the modular RESTful architecture, major system components, AI and database layers, entity relationships, key data entities, relationships, user flow, and MVC architecture pattern described in the supplied project document.</w:t>
      </w:r>
    </w:p>
    <w:p>
      <w:pPr>
        <w:spacing w:after="120"/>
      </w:pPr>
      <w:r>
        <w:t>The source describes a React.js client communicating with an Express.js backend through REST APIs. The backend authenticates users with JWT, stores project data in MongoDB through Mongoose, and communicates with the Google Gemini AI API for intelligent study-resource generation.</w:t>
      </w:r>
    </w:p>
    <w:p>
      <w:pPr>
        <w:pStyle w:val="Heading1"/>
      </w:pPr>
      <w:r>
        <w:t>2. Project Architecture</w:t>
      </w:r>
    </w:p>
    <w:p>
      <w:pPr>
        <w:spacing w:after="120"/>
      </w:pPr>
      <w:r>
        <w:t>The AI StudyBuddy backend follows a modular RESTful architecture designed to provide secure, scalable, and AI-powered learning services. The system processes client requests through Express.js, validates users using JWT authentication, interacts with MongoDB for data storage, and communicates with the Google Gemini AI API to generate intelligent study resources.</w:t>
      </w:r>
    </w:p>
    <w:p>
      <w:pPr>
        <w:spacing w:after="120"/>
      </w:pPr>
      <w:r>
        <w:t>The architecture separates authentication, business logic, AI services, and database operations into independent modules, making the application easier to maintain, extend, and debug.</w:t>
      </w:r>
    </w:p>
    <w:p>
      <w:pPr>
        <w:jc w:val="center"/>
      </w:pPr>
      <w:r>
        <w:drawing>
          <wp:inline xmlns:a="http://schemas.openxmlformats.org/drawingml/2006/main" xmlns:pic="http://schemas.openxmlformats.org/drawingml/2006/picture">
            <wp:extent cx="5897880" cy="3727132"/>
            <wp:docPr id="1" name="Picture 1"/>
            <wp:cNvGraphicFramePr>
              <a:graphicFrameLocks noChangeAspect="1"/>
            </wp:cNvGraphicFramePr>
            <a:graphic>
              <a:graphicData uri="http://schemas.openxmlformats.org/drawingml/2006/picture">
                <pic:pic>
                  <pic:nvPicPr>
                    <pic:cNvPr id="0" name="img_01.png"/>
                    <pic:cNvPicPr/>
                  </pic:nvPicPr>
                  <pic:blipFill>
                    <a:blip r:embed="rId11"/>
                    <a:stretch>
                      <a:fillRect/>
                    </a:stretch>
                  </pic:blipFill>
                  <pic:spPr>
                    <a:xfrm>
                      <a:off x="0" y="0"/>
                      <a:ext cx="5897880" cy="3727132"/>
                    </a:xfrm>
                    <a:prstGeom prst="rect"/>
                  </pic:spPr>
                </pic:pic>
              </a:graphicData>
            </a:graphic>
          </wp:inline>
        </w:drawing>
      </w:r>
    </w:p>
    <w:p>
      <w:pPr>
        <w:jc w:val="center"/>
      </w:pPr>
      <w:r>
        <w:rPr>
          <w:i/>
          <w:sz w:val="17"/>
        </w:rPr>
        <w:t>Figure 2.1 — AI StudyBuddy Project Architecture (source document, page 4)</w:t>
      </w:r>
    </w:p>
    <w:p>
      <w:pPr>
        <w:pStyle w:val="Heading2"/>
      </w:pPr>
      <w:r>
        <w:t>2.1 Architectural Components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Component</w:t>
            </w:r>
          </w:p>
        </w:tc>
        <w:tc>
          <w:tcPr>
            <w:tcW w:type="dxa" w:w="5040"/>
            <w:vAlign w:val="center"/>
            <w:shd w:fill="D9EAF7"/>
          </w:tcPr>
          <w:p>
            <w:r/>
            <w:r>
              <w:rPr>
                <w:rFonts w:ascii="Aptos" w:hAnsi="Aptos"/>
                <w:b/>
                <w:sz w:val="19"/>
              </w:rPr>
              <w:t>Definition / Responsibility</w:t>
            </w:r>
          </w:p>
        </w:tc>
      </w:tr>
      <w:tr>
        <w:tc>
          <w:tcPr>
            <w:tcW w:type="dxa" w:w="5040"/>
            <w:vAlign w:val="center"/>
          </w:tcPr>
          <w:p>
            <w:r/>
            <w:r>
              <w:rPr>
                <w:rFonts w:ascii="Aptos" w:hAnsi="Aptos"/>
                <w:b/>
                <w:sz w:val="19"/>
              </w:rPr>
              <w:t>Client Application</w:t>
            </w:r>
          </w:p>
        </w:tc>
        <w:tc>
          <w:tcPr>
            <w:tcW w:type="dxa" w:w="5040"/>
            <w:vAlign w:val="center"/>
          </w:tcPr>
          <w:p>
            <w:r/>
            <w:r>
              <w:rPr>
                <w:rFonts w:ascii="Aptos" w:hAnsi="Aptos"/>
                <w:b w:val="0"/>
                <w:sz w:val="19"/>
              </w:rPr>
              <w:t>The React.js frontend allows users to register, log in, upload study material, and access AI-powered features such as summaries, quizzes, flashcards, and study plans through REST APIs.</w:t>
            </w:r>
          </w:p>
        </w:tc>
      </w:tr>
      <w:tr>
        <w:tc>
          <w:tcPr>
            <w:tcW w:type="dxa" w:w="5040"/>
            <w:vAlign w:val="center"/>
          </w:tcPr>
          <w:p>
            <w:r/>
            <w:r>
              <w:rPr>
                <w:rFonts w:ascii="Aptos" w:hAnsi="Aptos"/>
                <w:b/>
                <w:sz w:val="19"/>
              </w:rPr>
              <w:t>Express Server</w:t>
            </w:r>
          </w:p>
        </w:tc>
        <w:tc>
          <w:tcPr>
            <w:tcW w:type="dxa" w:w="5040"/>
            <w:vAlign w:val="center"/>
          </w:tcPr>
          <w:p>
            <w:r/>
            <w:r>
              <w:rPr>
                <w:rFonts w:ascii="Aptos" w:hAnsi="Aptos"/>
                <w:b w:val="0"/>
                <w:sz w:val="19"/>
              </w:rPr>
              <w:t>The Express.js server receives HTTP requests, handles routing, processes middleware, and sends appropriate responses to the client.</w:t>
            </w:r>
          </w:p>
        </w:tc>
      </w:tr>
      <w:tr>
        <w:tc>
          <w:tcPr>
            <w:tcW w:type="dxa" w:w="5040"/>
            <w:vAlign w:val="center"/>
          </w:tcPr>
          <w:p>
            <w:r/>
            <w:r>
              <w:rPr>
                <w:rFonts w:ascii="Aptos" w:hAnsi="Aptos"/>
                <w:b/>
                <w:sz w:val="19"/>
              </w:rPr>
              <w:t>Authentication Middleware</w:t>
            </w:r>
          </w:p>
        </w:tc>
        <w:tc>
          <w:tcPr>
            <w:tcW w:type="dxa" w:w="5040"/>
            <w:vAlign w:val="center"/>
          </w:tcPr>
          <w:p>
            <w:r/>
            <w:r>
              <w:rPr>
                <w:rFonts w:ascii="Aptos" w:hAnsi="Aptos"/>
                <w:b w:val="0"/>
                <w:sz w:val="19"/>
              </w:rPr>
              <w:t>JWT-based middleware verifies user identity, protects private routes, and ensures that only authenticated users can access AI services and study resources.</w:t>
            </w:r>
          </w:p>
        </w:tc>
      </w:tr>
      <w:tr>
        <w:tc>
          <w:tcPr>
            <w:tcW w:type="dxa" w:w="5040"/>
            <w:vAlign w:val="center"/>
          </w:tcPr>
          <w:p>
            <w:r/>
            <w:r>
              <w:rPr>
                <w:rFonts w:ascii="Aptos" w:hAnsi="Aptos"/>
                <w:b/>
                <w:sz w:val="19"/>
              </w:rPr>
              <w:t>Route Handlers</w:t>
            </w:r>
          </w:p>
        </w:tc>
        <w:tc>
          <w:tcPr>
            <w:tcW w:type="dxa" w:w="5040"/>
            <w:vAlign w:val="center"/>
          </w:tcPr>
          <w:p>
            <w:r/>
            <w:r>
              <w:rPr>
                <w:rFonts w:ascii="Aptos" w:hAnsi="Aptos"/>
                <w:b w:val="0"/>
                <w:sz w:val="19"/>
              </w:rPr>
              <w:t>Routes manage API endpoints related to user authentication, study materials, AI features, and administrative operations.</w:t>
            </w:r>
          </w:p>
        </w:tc>
      </w:tr>
      <w:tr>
        <w:tc>
          <w:tcPr>
            <w:tcW w:type="dxa" w:w="5040"/>
            <w:vAlign w:val="center"/>
          </w:tcPr>
          <w:p>
            <w:r/>
            <w:r>
              <w:rPr>
                <w:rFonts w:ascii="Aptos" w:hAnsi="Aptos"/>
                <w:b/>
                <w:sz w:val="19"/>
              </w:rPr>
              <w:t>AI Service Layer</w:t>
            </w:r>
          </w:p>
        </w:tc>
        <w:tc>
          <w:tcPr>
            <w:tcW w:type="dxa" w:w="5040"/>
            <w:vAlign w:val="center"/>
          </w:tcPr>
          <w:p>
            <w:r/>
            <w:r>
              <w:rPr>
                <w:rFonts w:ascii="Aptos" w:hAnsi="Aptos"/>
                <w:b w:val="0"/>
                <w:sz w:val="19"/>
              </w:rPr>
              <w:t>A dedicated AI service communicates with the Google Gemini API to generate summaries, quizzes, flashcards, and personalized study plans based on user study content.</w:t>
            </w:r>
          </w:p>
        </w:tc>
      </w:tr>
      <w:tr>
        <w:tc>
          <w:tcPr>
            <w:tcW w:type="dxa" w:w="5040"/>
            <w:vAlign w:val="center"/>
          </w:tcPr>
          <w:p>
            <w:r/>
            <w:r>
              <w:rPr>
                <w:rFonts w:ascii="Aptos" w:hAnsi="Aptos"/>
                <w:b/>
                <w:sz w:val="19"/>
              </w:rPr>
              <w:t>Database Layer</w:t>
            </w:r>
          </w:p>
        </w:tc>
        <w:tc>
          <w:tcPr>
            <w:tcW w:type="dxa" w:w="5040"/>
            <w:vAlign w:val="center"/>
          </w:tcPr>
          <w:p>
            <w:r/>
            <w:r>
              <w:rPr>
                <w:rFonts w:ascii="Aptos" w:hAnsi="Aptos"/>
                <w:b w:val="0"/>
                <w:sz w:val="19"/>
              </w:rPr>
              <w:t>MongoDB, together with Mongoose ODM, stores user information, uploaded study materials, and AI-generated learning resources securely.</w:t>
            </w:r>
          </w:p>
        </w:tc>
      </w:tr>
    </w:tbl>
    <w:p>
      <w:pPr>
        <w:pStyle w:val="Heading1"/>
      </w:pPr>
      <w:r>
        <w:t>3. Entity-Relationship (ER) Data Design</w:t>
      </w:r>
    </w:p>
    <w:p>
      <w:pPr>
        <w:spacing w:after="120"/>
      </w:pPr>
      <w:r>
        <w:t>The AI StudyBuddy backend manages data through interconnected MongoDB collections that store user information, study materials, and AI-generated learning resources. Each entity is linked using logical relationships to support efficient data management and retrieval.</w:t>
      </w:r>
    </w:p>
    <w:p>
      <w:pPr>
        <w:jc w:val="center"/>
      </w:pPr>
      <w:r>
        <w:drawing>
          <wp:inline xmlns:a="http://schemas.openxmlformats.org/drawingml/2006/main" xmlns:pic="http://schemas.openxmlformats.org/drawingml/2006/picture">
            <wp:extent cx="5806440" cy="3669348"/>
            <wp:docPr id="2" name="Picture 2"/>
            <wp:cNvGraphicFramePr>
              <a:graphicFrameLocks noChangeAspect="1"/>
            </wp:cNvGraphicFramePr>
            <a:graphic>
              <a:graphicData uri="http://schemas.openxmlformats.org/drawingml/2006/picture">
                <pic:pic>
                  <pic:nvPicPr>
                    <pic:cNvPr id="0" name="img_02.png"/>
                    <pic:cNvPicPr/>
                  </pic:nvPicPr>
                  <pic:blipFill>
                    <a:blip r:embed="rId12"/>
                    <a:stretch>
                      <a:fillRect/>
                    </a:stretch>
                  </pic:blipFill>
                  <pic:spPr>
                    <a:xfrm>
                      <a:off x="0" y="0"/>
                      <a:ext cx="5806440" cy="3669348"/>
                    </a:xfrm>
                    <a:prstGeom prst="rect"/>
                  </pic:spPr>
                </pic:pic>
              </a:graphicData>
            </a:graphic>
          </wp:inline>
        </w:drawing>
      </w:r>
    </w:p>
    <w:p>
      <w:pPr>
        <w:jc w:val="center"/>
      </w:pPr>
      <w:r>
        <w:rPr>
          <w:i/>
          <w:sz w:val="17"/>
        </w:rPr>
        <w:t>Figure 3.1 — AI StudyBuddy ER Diagram (source document, page 5)</w:t>
      </w:r>
    </w:p>
    <w:p>
      <w:pPr>
        <w:pStyle w:val="Heading2"/>
      </w:pPr>
      <w:r>
        <w:t>3.1 User Entity</w:t>
      </w:r>
    </w:p>
    <w:p>
      <w:pPr>
        <w:spacing w:after="120"/>
      </w:pPr>
      <w:r>
        <w:t>Stores the details of registered users and administrators.</w:t>
      </w:r>
    </w:p>
    <w:p>
      <w:pPr>
        <w:pStyle w:val="ListBullet"/>
        <w:spacing w:after="60"/>
      </w:pPr>
      <w:r>
        <w:t>_id — Primary Key (ObjectId)</w:t>
      </w:r>
    </w:p>
    <w:p>
      <w:pPr>
        <w:pStyle w:val="ListBullet"/>
        <w:spacing w:after="60"/>
      </w:pPr>
      <w:r>
        <w:t>name — String, Required</w:t>
      </w:r>
    </w:p>
    <w:p>
      <w:pPr>
        <w:pStyle w:val="ListBullet"/>
        <w:spacing w:after="60"/>
      </w:pPr>
      <w:r>
        <w:t>email — String, Required, Unique</w:t>
      </w:r>
    </w:p>
    <w:p>
      <w:pPr>
        <w:pStyle w:val="ListBullet"/>
        <w:spacing w:after="60"/>
      </w:pPr>
      <w:r>
        <w:t>password — String, Hashed</w:t>
      </w:r>
    </w:p>
    <w:p>
      <w:pPr>
        <w:pStyle w:val="ListBullet"/>
        <w:spacing w:after="60"/>
      </w:pPr>
      <w:r>
        <w:t>role — String (Student/Admin)</w:t>
      </w:r>
    </w:p>
    <w:p>
      <w:pPr>
        <w:pStyle w:val="ListBullet"/>
        <w:spacing w:after="60"/>
      </w:pPr>
      <w:r>
        <w:t>createdAt</w:t>
      </w:r>
    </w:p>
    <w:p>
      <w:pPr>
        <w:pStyle w:val="Heading2"/>
      </w:pPr>
      <w:r>
        <w:t>3.2 Study Material Entity</w:t>
      </w:r>
    </w:p>
    <w:p>
      <w:pPr>
        <w:spacing w:after="120"/>
      </w:pPr>
      <w:r>
        <w:t>Stores study content uploaded by students for AI processing.</w:t>
      </w:r>
    </w:p>
    <w:p>
      <w:pPr>
        <w:pStyle w:val="ListBullet"/>
        <w:spacing w:after="60"/>
      </w:pPr>
      <w:r>
        <w:t>_id — Primary Key</w:t>
      </w:r>
    </w:p>
    <w:p>
      <w:pPr>
        <w:pStyle w:val="ListBullet"/>
        <w:spacing w:after="60"/>
      </w:pPr>
      <w:r>
        <w:t>userId — Foreign Key → User</w:t>
      </w:r>
    </w:p>
    <w:p>
      <w:pPr>
        <w:pStyle w:val="ListBullet"/>
        <w:spacing w:after="60"/>
      </w:pPr>
      <w:r>
        <w:t>title</w:t>
      </w:r>
    </w:p>
    <w:p>
      <w:pPr>
        <w:pStyle w:val="ListBullet"/>
        <w:spacing w:after="60"/>
      </w:pPr>
      <w:r>
        <w:t>subject</w:t>
      </w:r>
    </w:p>
    <w:p>
      <w:pPr>
        <w:pStyle w:val="ListBullet"/>
        <w:spacing w:after="60"/>
      </w:pPr>
      <w:r>
        <w:t>content</w:t>
      </w:r>
    </w:p>
    <w:p>
      <w:pPr>
        <w:pStyle w:val="ListBullet"/>
        <w:spacing w:after="60"/>
      </w:pPr>
      <w:r>
        <w:t>createdAt</w:t>
      </w:r>
    </w:p>
    <w:p>
      <w:pPr>
        <w:pStyle w:val="Heading2"/>
      </w:pPr>
      <w:r>
        <w:t>3.3 Summary Entity</w:t>
      </w:r>
    </w:p>
    <w:p>
      <w:pPr>
        <w:spacing w:after="120"/>
      </w:pPr>
      <w:r>
        <w:t>Stores AI-generated summaries.</w:t>
      </w:r>
    </w:p>
    <w:p>
      <w:pPr>
        <w:pStyle w:val="ListBullet"/>
        <w:spacing w:after="60"/>
      </w:pPr>
      <w:r>
        <w:t>_id — Primary Key</w:t>
      </w:r>
    </w:p>
    <w:p>
      <w:pPr>
        <w:pStyle w:val="ListBullet"/>
        <w:spacing w:after="60"/>
      </w:pPr>
      <w:r>
        <w:t>userId — Foreign Key → User</w:t>
      </w:r>
    </w:p>
    <w:p>
      <w:pPr>
        <w:pStyle w:val="ListBullet"/>
        <w:spacing w:after="60"/>
      </w:pPr>
      <w:r>
        <w:t>materialId — Foreign Key → Study Material</w:t>
      </w:r>
    </w:p>
    <w:p>
      <w:pPr>
        <w:pStyle w:val="ListBullet"/>
        <w:spacing w:after="60"/>
      </w:pPr>
      <w:r>
        <w:t>summary</w:t>
      </w:r>
    </w:p>
    <w:p>
      <w:pPr>
        <w:pStyle w:val="ListBullet"/>
        <w:spacing w:after="60"/>
      </w:pPr>
      <w:r>
        <w:t>createdAt</w:t>
      </w:r>
    </w:p>
    <w:p>
      <w:pPr>
        <w:pStyle w:val="Heading2"/>
      </w:pPr>
      <w:r>
        <w:t>3.4 Flashcard Entity</w:t>
      </w:r>
    </w:p>
    <w:p>
      <w:pPr>
        <w:spacing w:after="120"/>
      </w:pPr>
      <w:r>
        <w:t>Stores AI-generated flashcards.</w:t>
      </w:r>
    </w:p>
    <w:p>
      <w:pPr>
        <w:pStyle w:val="ListBullet"/>
        <w:spacing w:after="60"/>
      </w:pPr>
      <w:r>
        <w:t>_id — Primary Key</w:t>
      </w:r>
    </w:p>
    <w:p>
      <w:pPr>
        <w:pStyle w:val="ListBullet"/>
        <w:spacing w:after="60"/>
      </w:pPr>
      <w:r>
        <w:t>userId — Foreign Key → User</w:t>
      </w:r>
    </w:p>
    <w:p>
      <w:pPr>
        <w:pStyle w:val="ListBullet"/>
        <w:spacing w:after="60"/>
      </w:pPr>
      <w:r>
        <w:t>materialId — Foreign Key → Study Material</w:t>
      </w:r>
    </w:p>
    <w:p>
      <w:pPr>
        <w:pStyle w:val="ListBullet"/>
        <w:spacing w:after="60"/>
      </w:pPr>
      <w:r>
        <w:t>question</w:t>
      </w:r>
    </w:p>
    <w:p>
      <w:pPr>
        <w:pStyle w:val="ListBullet"/>
        <w:spacing w:after="60"/>
      </w:pPr>
      <w:r>
        <w:t>answer</w:t>
      </w:r>
    </w:p>
    <w:p>
      <w:pPr>
        <w:pStyle w:val="ListBullet"/>
        <w:spacing w:after="60"/>
      </w:pPr>
      <w:r>
        <w:t>createdAt</w:t>
      </w:r>
    </w:p>
    <w:p>
      <w:pPr>
        <w:pStyle w:val="Heading2"/>
      </w:pPr>
      <w:r>
        <w:t>3.5 Quiz Entity</w:t>
      </w:r>
    </w:p>
    <w:p>
      <w:pPr>
        <w:spacing w:after="120"/>
      </w:pPr>
      <w:r>
        <w:t>Stores AI-generated quizzes.</w:t>
      </w:r>
    </w:p>
    <w:p>
      <w:pPr>
        <w:pStyle w:val="ListBullet"/>
        <w:spacing w:after="60"/>
      </w:pPr>
      <w:r>
        <w:t>_id — Primary Key</w:t>
      </w:r>
    </w:p>
    <w:p>
      <w:pPr>
        <w:pStyle w:val="ListBullet"/>
        <w:spacing w:after="60"/>
      </w:pPr>
      <w:r>
        <w:t>userId — Foreign Key → User</w:t>
      </w:r>
    </w:p>
    <w:p>
      <w:pPr>
        <w:pStyle w:val="ListBullet"/>
        <w:spacing w:after="60"/>
      </w:pPr>
      <w:r>
        <w:t>materialId — Foreign Key → Study Material</w:t>
      </w:r>
    </w:p>
    <w:p>
      <w:pPr>
        <w:pStyle w:val="ListBullet"/>
        <w:spacing w:after="60"/>
      </w:pPr>
      <w:r>
        <w:t>questions</w:t>
      </w:r>
    </w:p>
    <w:p>
      <w:pPr>
        <w:pStyle w:val="ListBullet"/>
        <w:spacing w:after="60"/>
      </w:pPr>
      <w:r>
        <w:t>createdAt</w:t>
      </w:r>
    </w:p>
    <w:p>
      <w:pPr>
        <w:pStyle w:val="Heading2"/>
      </w:pPr>
      <w:r>
        <w:t>3.6 Study Plan Entity</w:t>
      </w:r>
    </w:p>
    <w:p>
      <w:pPr>
        <w:spacing w:after="120"/>
      </w:pPr>
      <w:r>
        <w:t>Stores personalized study plans generated by AI.</w:t>
      </w:r>
    </w:p>
    <w:p>
      <w:pPr>
        <w:pStyle w:val="ListBullet"/>
        <w:spacing w:after="60"/>
      </w:pPr>
      <w:r>
        <w:t>_id — Primary Key</w:t>
      </w:r>
    </w:p>
    <w:p>
      <w:pPr>
        <w:pStyle w:val="ListBullet"/>
        <w:spacing w:after="60"/>
      </w:pPr>
      <w:r>
        <w:t>userId — Foreign Key → User</w:t>
      </w:r>
    </w:p>
    <w:p>
      <w:pPr>
        <w:pStyle w:val="ListBullet"/>
        <w:spacing w:after="60"/>
      </w:pPr>
      <w:r>
        <w:t>studyPlan</w:t>
      </w:r>
    </w:p>
    <w:p>
      <w:pPr>
        <w:pStyle w:val="ListBullet"/>
        <w:spacing w:after="60"/>
      </w:pPr>
      <w:r>
        <w:t>examDate</w:t>
      </w:r>
    </w:p>
    <w:p>
      <w:pPr>
        <w:pStyle w:val="ListBullet"/>
        <w:spacing w:after="60"/>
      </w:pPr>
      <w:r>
        <w:t>createdAt</w:t>
      </w:r>
    </w:p>
    <w:p>
      <w:pPr>
        <w:pStyle w:val="Heading1"/>
      </w:pPr>
      <w:r>
        <w:t>4. Key Data Relationships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Relationship</w:t>
            </w:r>
          </w:p>
        </w:tc>
        <w:tc>
          <w:tcPr>
            <w:tcW w:type="dxa" w:w="3360"/>
            <w:vAlign w:val="center"/>
            <w:shd w:fill="D9EAF7"/>
          </w:tcPr>
          <w:p>
            <w:r/>
            <w:r>
              <w:rPr>
                <w:rFonts w:ascii="Aptos" w:hAnsi="Aptos"/>
                <w:b/>
                <w:sz w:val="19"/>
              </w:rPr>
              <w:t>Cardinality</w:t>
            </w:r>
          </w:p>
        </w:tc>
        <w:tc>
          <w:tcPr>
            <w:tcW w:type="dxa" w:w="3360"/>
            <w:vAlign w:val="center"/>
            <w:shd w:fill="D9EAF7"/>
          </w:tcPr>
          <w:p>
            <w:r/>
            <w:r>
              <w:rPr>
                <w:rFonts w:ascii="Aptos" w:hAnsi="Aptos"/>
                <w:b/>
                <w:sz w:val="19"/>
              </w:rPr>
              <w:t>Description</w:t>
            </w:r>
          </w:p>
        </w:tc>
      </w:tr>
      <w:tr>
        <w:tc>
          <w:tcPr>
            <w:tcW w:type="dxa" w:w="3360"/>
            <w:vAlign w:val="center"/>
          </w:tcPr>
          <w:p>
            <w:r/>
            <w:r>
              <w:rPr>
                <w:rFonts w:ascii="Aptos" w:hAnsi="Aptos"/>
                <w:b/>
                <w:sz w:val="19"/>
              </w:rPr>
              <w:t>User → Study Material</w:t>
            </w:r>
          </w:p>
        </w:tc>
        <w:tc>
          <w:tcPr>
            <w:tcW w:type="dxa" w:w="3360"/>
            <w:vAlign w:val="center"/>
          </w:tcPr>
          <w:p>
            <w:r/>
            <w:r>
              <w:rPr>
                <w:rFonts w:ascii="Aptos" w:hAnsi="Aptos"/>
                <w:b w:val="0"/>
                <w:sz w:val="19"/>
              </w:rPr>
              <w:t>One-to-Many</w:t>
            </w:r>
          </w:p>
        </w:tc>
        <w:tc>
          <w:tcPr>
            <w:tcW w:type="dxa" w:w="3360"/>
            <w:vAlign w:val="center"/>
          </w:tcPr>
          <w:p>
            <w:r/>
            <w:r>
              <w:rPr>
                <w:rFonts w:ascii="Aptos" w:hAnsi="Aptos"/>
                <w:b w:val="0"/>
                <w:sz w:val="19"/>
              </w:rPr>
              <w:t>A user can upload multiple study materials.</w:t>
            </w:r>
          </w:p>
        </w:tc>
      </w:tr>
      <w:tr>
        <w:tc>
          <w:tcPr>
            <w:tcW w:type="dxa" w:w="3360"/>
            <w:vAlign w:val="center"/>
          </w:tcPr>
          <w:p>
            <w:r/>
            <w:r>
              <w:rPr>
                <w:rFonts w:ascii="Aptos" w:hAnsi="Aptos"/>
                <w:b/>
                <w:sz w:val="19"/>
              </w:rPr>
              <w:t>Study Material → Summary</w:t>
            </w:r>
          </w:p>
        </w:tc>
        <w:tc>
          <w:tcPr>
            <w:tcW w:type="dxa" w:w="3360"/>
            <w:vAlign w:val="center"/>
          </w:tcPr>
          <w:p>
            <w:r/>
            <w:r>
              <w:rPr>
                <w:rFonts w:ascii="Aptos" w:hAnsi="Aptos"/>
                <w:b w:val="0"/>
                <w:sz w:val="19"/>
              </w:rPr>
              <w:t>One-to-One</w:t>
            </w:r>
          </w:p>
        </w:tc>
        <w:tc>
          <w:tcPr>
            <w:tcW w:type="dxa" w:w="3360"/>
            <w:vAlign w:val="center"/>
          </w:tcPr>
          <w:p>
            <w:r/>
            <w:r>
              <w:rPr>
                <w:rFonts w:ascii="Aptos" w:hAnsi="Aptos"/>
                <w:b w:val="0"/>
                <w:sz w:val="19"/>
              </w:rPr>
              <w:t>Each uploaded material can have one AI-generated summary.</w:t>
            </w:r>
          </w:p>
        </w:tc>
      </w:tr>
      <w:tr>
        <w:tc>
          <w:tcPr>
            <w:tcW w:type="dxa" w:w="3360"/>
            <w:vAlign w:val="center"/>
          </w:tcPr>
          <w:p>
            <w:r/>
            <w:r>
              <w:rPr>
                <w:rFonts w:ascii="Aptos" w:hAnsi="Aptos"/>
                <w:b/>
                <w:sz w:val="19"/>
              </w:rPr>
              <w:t>Study Material → Flashcards</w:t>
            </w:r>
          </w:p>
        </w:tc>
        <w:tc>
          <w:tcPr>
            <w:tcW w:type="dxa" w:w="3360"/>
            <w:vAlign w:val="center"/>
          </w:tcPr>
          <w:p>
            <w:r/>
            <w:r>
              <w:rPr>
                <w:rFonts w:ascii="Aptos" w:hAnsi="Aptos"/>
                <w:b w:val="0"/>
                <w:sz w:val="19"/>
              </w:rPr>
              <w:t>One-to-Many</w:t>
            </w:r>
          </w:p>
        </w:tc>
        <w:tc>
          <w:tcPr>
            <w:tcW w:type="dxa" w:w="3360"/>
            <w:vAlign w:val="center"/>
          </w:tcPr>
          <w:p>
            <w:r/>
            <w:r>
              <w:rPr>
                <w:rFonts w:ascii="Aptos" w:hAnsi="Aptos"/>
                <w:b w:val="0"/>
                <w:sz w:val="19"/>
              </w:rPr>
              <w:t>One study material can generate multiple flashcards.</w:t>
            </w:r>
          </w:p>
        </w:tc>
      </w:tr>
      <w:tr>
        <w:tc>
          <w:tcPr>
            <w:tcW w:type="dxa" w:w="3360"/>
            <w:vAlign w:val="center"/>
          </w:tcPr>
          <w:p>
            <w:r/>
            <w:r>
              <w:rPr>
                <w:rFonts w:ascii="Aptos" w:hAnsi="Aptos"/>
                <w:b/>
                <w:sz w:val="19"/>
              </w:rPr>
              <w:t>Study Material → Quiz</w:t>
            </w:r>
          </w:p>
        </w:tc>
        <w:tc>
          <w:tcPr>
            <w:tcW w:type="dxa" w:w="3360"/>
            <w:vAlign w:val="center"/>
          </w:tcPr>
          <w:p>
            <w:r/>
            <w:r>
              <w:rPr>
                <w:rFonts w:ascii="Aptos" w:hAnsi="Aptos"/>
                <w:b w:val="0"/>
                <w:sz w:val="19"/>
              </w:rPr>
              <w:t>One-to-One</w:t>
            </w:r>
          </w:p>
        </w:tc>
        <w:tc>
          <w:tcPr>
            <w:tcW w:type="dxa" w:w="3360"/>
            <w:vAlign w:val="center"/>
          </w:tcPr>
          <w:p>
            <w:r/>
            <w:r>
              <w:rPr>
                <w:rFonts w:ascii="Aptos" w:hAnsi="Aptos"/>
                <w:b w:val="0"/>
                <w:sz w:val="19"/>
              </w:rPr>
              <w:t>One study material can generate one quiz containing multiple questions.</w:t>
            </w:r>
          </w:p>
        </w:tc>
      </w:tr>
      <w:tr>
        <w:tc>
          <w:tcPr>
            <w:tcW w:type="dxa" w:w="3360"/>
            <w:vAlign w:val="center"/>
          </w:tcPr>
          <w:p>
            <w:r/>
            <w:r>
              <w:rPr>
                <w:rFonts w:ascii="Aptos" w:hAnsi="Aptos"/>
                <w:b/>
                <w:sz w:val="19"/>
              </w:rPr>
              <w:t>User → Study Plan</w:t>
            </w:r>
          </w:p>
        </w:tc>
        <w:tc>
          <w:tcPr>
            <w:tcW w:type="dxa" w:w="3360"/>
            <w:vAlign w:val="center"/>
          </w:tcPr>
          <w:p>
            <w:r/>
            <w:r>
              <w:rPr>
                <w:rFonts w:ascii="Aptos" w:hAnsi="Aptos"/>
                <w:b w:val="0"/>
                <w:sz w:val="19"/>
              </w:rPr>
              <w:t>One-to-Many</w:t>
            </w:r>
          </w:p>
        </w:tc>
        <w:tc>
          <w:tcPr>
            <w:tcW w:type="dxa" w:w="3360"/>
            <w:vAlign w:val="center"/>
          </w:tcPr>
          <w:p>
            <w:r/>
            <w:r>
              <w:rPr>
                <w:rFonts w:ascii="Aptos" w:hAnsi="Aptos"/>
                <w:b w:val="0"/>
                <w:sz w:val="19"/>
              </w:rPr>
              <w:t>A user can generate multiple study plans based on different subjects or examination schedules.</w:t>
            </w:r>
          </w:p>
        </w:tc>
      </w:tr>
      <w:tr>
        <w:tc>
          <w:tcPr>
            <w:tcW w:type="dxa" w:w="3360"/>
            <w:vAlign w:val="center"/>
          </w:tcPr>
          <w:p>
            <w:r/>
            <w:r>
              <w:rPr>
                <w:rFonts w:ascii="Aptos" w:hAnsi="Aptos"/>
                <w:b/>
                <w:sz w:val="19"/>
              </w:rPr>
              <w:t>User → AI Resources</w:t>
            </w:r>
          </w:p>
        </w:tc>
        <w:tc>
          <w:tcPr>
            <w:tcW w:type="dxa" w:w="3360"/>
            <w:vAlign w:val="center"/>
          </w:tcPr>
          <w:p>
            <w:r/>
            <w:r>
              <w:rPr>
                <w:rFonts w:ascii="Aptos" w:hAnsi="Aptos"/>
                <w:b w:val="0"/>
                <w:sz w:val="19"/>
              </w:rPr>
              <w:t>One-to-Many</w:t>
            </w:r>
          </w:p>
        </w:tc>
        <w:tc>
          <w:tcPr>
            <w:tcW w:type="dxa" w:w="3360"/>
            <w:vAlign w:val="center"/>
          </w:tcPr>
          <w:p>
            <w:r/>
            <w:r>
              <w:rPr>
                <w:rFonts w:ascii="Aptos" w:hAnsi="Aptos"/>
                <w:b w:val="0"/>
                <w:sz w:val="19"/>
              </w:rPr>
              <w:t>All AI-generated summaries, flashcards, quizzes, and study plans are associated with the user who generated them.</w:t>
            </w:r>
          </w:p>
        </w:tc>
      </w:tr>
    </w:tbl>
    <w:p>
      <w:pPr>
        <w:pStyle w:val="Heading1"/>
      </w:pPr>
      <w:r>
        <w:t>5. User Flow Design</w:t>
      </w:r>
    </w:p>
    <w:p>
      <w:pPr>
        <w:spacing w:after="120"/>
      </w:pPr>
      <w:r>
        <w:t>The application begins with user registration or login. After successful JWT-based authentication, the user is redirected to the dashboard, where study materials can be uploaded and AI-powered features can be accessed.</w:t>
      </w:r>
    </w:p>
    <w:p>
      <w:pPr>
        <w:jc w:val="center"/>
      </w:pPr>
      <w:r>
        <w:drawing>
          <wp:inline xmlns:a="http://schemas.openxmlformats.org/drawingml/2006/main" xmlns:pic="http://schemas.openxmlformats.org/drawingml/2006/picture">
            <wp:extent cx="5806440" cy="3870960"/>
            <wp:docPr id="3" name="Picture 3"/>
            <wp:cNvGraphicFramePr>
              <a:graphicFrameLocks noChangeAspect="1"/>
            </wp:cNvGraphicFramePr>
            <a:graphic>
              <a:graphicData uri="http://schemas.openxmlformats.org/drawingml/2006/picture">
                <pic:pic>
                  <pic:nvPicPr>
                    <pic:cNvPr id="0" name="img_03.png"/>
                    <pic:cNvPicPr/>
                  </pic:nvPicPr>
                  <pic:blipFill>
                    <a:blip r:embed="rId13"/>
                    <a:stretch>
                      <a:fillRect/>
                    </a:stretch>
                  </pic:blipFill>
                  <pic:spPr>
                    <a:xfrm>
                      <a:off x="0" y="0"/>
                      <a:ext cx="5806440" cy="3870960"/>
                    </a:xfrm>
                    <a:prstGeom prst="rect"/>
                  </pic:spPr>
                </pic:pic>
              </a:graphicData>
            </a:graphic>
          </wp:inline>
        </w:drawing>
      </w:r>
    </w:p>
    <w:p>
      <w:pPr>
        <w:jc w:val="center"/>
      </w:pPr>
      <w:r>
        <w:rPr>
          <w:i/>
          <w:sz w:val="17"/>
        </w:rPr>
        <w:t>Figure 5.1 — AI StudyBuddy User Flow Diagram (source document, page 9)</w:t>
      </w:r>
    </w:p>
    <w:p>
      <w:pPr>
        <w:pStyle w:val="ListNumber"/>
        <w:spacing w:after="60"/>
      </w:pPr>
      <w:r>
        <w:t>Register or log in to the application.</w:t>
      </w:r>
    </w:p>
    <w:p>
      <w:pPr>
        <w:pStyle w:val="ListNumber"/>
        <w:spacing w:after="60"/>
      </w:pPr>
      <w:r>
        <w:t>Complete JWT-based authentication.</w:t>
      </w:r>
    </w:p>
    <w:p>
      <w:pPr>
        <w:pStyle w:val="ListNumber"/>
        <w:spacing w:after="60"/>
      </w:pPr>
      <w:r>
        <w:t>Access the user dashboard.</w:t>
      </w:r>
    </w:p>
    <w:p>
      <w:pPr>
        <w:pStyle w:val="ListNumber"/>
        <w:spacing w:after="60"/>
      </w:pPr>
      <w:r>
        <w:t>Upload study material.</w:t>
      </w:r>
    </w:p>
    <w:p>
      <w:pPr>
        <w:pStyle w:val="ListNumber"/>
        <w:spacing w:after="60"/>
      </w:pPr>
      <w:r>
        <w:t>Generate an AI summary, flashcards, quiz, or study plan.</w:t>
      </w:r>
    </w:p>
    <w:p>
      <w:pPr>
        <w:pStyle w:val="ListNumber"/>
        <w:spacing w:after="60"/>
      </w:pPr>
      <w:r>
        <w:t>View and save generated learning resources.</w:t>
      </w:r>
    </w:p>
    <w:p>
      <w:pPr>
        <w:pStyle w:val="ListNumber"/>
        <w:spacing w:after="60"/>
      </w:pPr>
      <w:r>
        <w:t>Access history and previously generated resources.</w:t>
      </w:r>
    </w:p>
    <w:p>
      <w:pPr>
        <w:pStyle w:val="ListNumber"/>
        <w:spacing w:after="60"/>
      </w:pPr>
      <w:r>
        <w:t>Manage the user profile.</w:t>
      </w:r>
    </w:p>
    <w:p>
      <w:pPr>
        <w:spacing w:after="120"/>
      </w:pPr>
      <w:r>
        <w:t>The source flow diagram shows the dashboard acting as the central point from which the learning-resource generation functions and history/saved-resource functions are accessed.</w:t>
      </w:r>
    </w:p>
    <w:p>
      <w:pPr>
        <w:pStyle w:val="Heading1"/>
      </w:pPr>
      <w:r>
        <w:t>6. MVC Architecture Pattern</w:t>
      </w:r>
    </w:p>
    <w:p>
      <w:pPr>
        <w:spacing w:after="120"/>
      </w:pPr>
      <w:r>
        <w:t>The AI StudyBuddy backend follows the Model-View-Controller (MVC) architecture to organize the application into separate layers, making the code modular, maintainable, and scalable.</w:t>
      </w:r>
    </w:p>
    <w:p>
      <w:pPr>
        <w:jc w:val="center"/>
      </w:pPr>
      <w:r>
        <w:drawing>
          <wp:inline xmlns:a="http://schemas.openxmlformats.org/drawingml/2006/main" xmlns:pic="http://schemas.openxmlformats.org/drawingml/2006/picture">
            <wp:extent cx="5806440" cy="3870960"/>
            <wp:docPr id="4" name="Picture 4"/>
            <wp:cNvGraphicFramePr>
              <a:graphicFrameLocks noChangeAspect="1"/>
            </wp:cNvGraphicFramePr>
            <a:graphic>
              <a:graphicData uri="http://schemas.openxmlformats.org/drawingml/2006/picture">
                <pic:pic>
                  <pic:nvPicPr>
                    <pic:cNvPr id="0" name="img_04.png"/>
                    <pic:cNvPicPr/>
                  </pic:nvPicPr>
                  <pic:blipFill>
                    <a:blip r:embed="rId14"/>
                    <a:stretch>
                      <a:fillRect/>
                    </a:stretch>
                  </pic:blipFill>
                  <pic:spPr>
                    <a:xfrm>
                      <a:off x="0" y="0"/>
                      <a:ext cx="5806440" cy="3870960"/>
                    </a:xfrm>
                    <a:prstGeom prst="rect"/>
                  </pic:spPr>
                </pic:pic>
              </a:graphicData>
            </a:graphic>
          </wp:inline>
        </w:drawing>
      </w:r>
    </w:p>
    <w:p>
      <w:pPr>
        <w:jc w:val="center"/>
      </w:pPr>
      <w:r>
        <w:rPr>
          <w:i/>
          <w:sz w:val="17"/>
        </w:rPr>
        <w:t>Figure 6.1 — MVC Architecture Pattern (source document, page 9)</w:t>
      </w:r>
    </w:p>
    <w:p>
      <w:pPr>
        <w:pStyle w:val="Heading2"/>
      </w:pPr>
      <w:r>
        <w:t>6.1 Model Layer (Data Layer)</w:t>
      </w:r>
    </w:p>
    <w:p>
      <w:pPr>
        <w:spacing w:after="120"/>
      </w:pPr>
      <w:r>
        <w:t>The Model layer defines the MongoDB collections using Mongoose schemas. It is responsible for managing user information, uploaded study materials, and AI-generated learning resources while ensuring data validation and database interactions.</w:t>
      </w:r>
    </w:p>
    <w:p>
      <w:pPr>
        <w:pStyle w:val="Heading2"/>
      </w:pPr>
      <w:r>
        <w:t>6.2 View Layer (API Response Layer)</w:t>
      </w:r>
    </w:p>
    <w:p>
      <w:pPr>
        <w:spacing w:after="120"/>
      </w:pPr>
      <w:r>
        <w:t>Since AI StudyBuddy is a backend REST API, there is no traditional user interface in the View layer. Instead, the API returns structured JSON responses to the React frontend, allowing users to interact with the application through REST endpoints.</w:t>
      </w:r>
    </w:p>
    <w:p>
      <w:pPr>
        <w:pStyle w:val="Heading2"/>
      </w:pPr>
      <w:r>
        <w:t>6.3 Controller Layer (Business Logic)</w:t>
      </w:r>
    </w:p>
    <w:p>
      <w:pPr>
        <w:spacing w:after="120"/>
      </w:pPr>
      <w:r>
        <w:t>The Controller layer processes incoming API requests, validates user input, performs authentication and authorization, communicates with the database models, invokes the Google Gemini AI service when required, and returns the appropriate response to the client.</w:t>
      </w:r>
    </w:p>
    <w:p>
      <w:pPr>
        <w:pStyle w:val="Heading2"/>
      </w:pPr>
      <w:r>
        <w:t>6.4 MVC Benefits</w:t>
      </w:r>
    </w:p>
    <w:p>
      <w:pPr>
        <w:pStyle w:val="ListBullet"/>
        <w:spacing w:after="60"/>
      </w:pPr>
      <w:r>
        <w:t>Separates data management, business logic, and client communication into independent components.</w:t>
      </w:r>
    </w:p>
    <w:p>
      <w:pPr>
        <w:pStyle w:val="ListBullet"/>
        <w:spacing w:after="60"/>
      </w:pPr>
      <w:r>
        <w:t>Improves code readability.</w:t>
      </w:r>
    </w:p>
    <w:p>
      <w:pPr>
        <w:pStyle w:val="ListBullet"/>
        <w:spacing w:after="60"/>
      </w:pPr>
      <w:r>
        <w:t>Simplifies debugging and testing.</w:t>
      </w:r>
    </w:p>
    <w:p>
      <w:pPr>
        <w:pStyle w:val="ListBullet"/>
        <w:spacing w:after="60"/>
      </w:pPr>
      <w:r>
        <w:t>Allows new features to be integrated without affecting existing modules.</w:t>
      </w:r>
    </w:p>
    <w:p>
      <w:pPr>
        <w:pStyle w:val="Heading1"/>
      </w:pPr>
      <w:r>
        <w:t>7. Architecture-to-Data Mapping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Layer / Component</w:t>
            </w:r>
          </w:p>
        </w:tc>
        <w:tc>
          <w:tcPr>
            <w:tcW w:type="dxa" w:w="5040"/>
            <w:vAlign w:val="center"/>
            <w:shd w:fill="D9EAF7"/>
          </w:tcPr>
          <w:p>
            <w:r/>
            <w:r>
              <w:rPr>
                <w:rFonts w:ascii="Aptos" w:hAnsi="Aptos"/>
                <w:b/>
                <w:sz w:val="19"/>
              </w:rPr>
              <w:t>Role in the System</w:t>
            </w:r>
          </w:p>
        </w:tc>
      </w:tr>
      <w:tr>
        <w:tc>
          <w:tcPr>
            <w:tcW w:type="dxa" w:w="5040"/>
            <w:vAlign w:val="center"/>
          </w:tcPr>
          <w:p>
            <w:r/>
            <w:r>
              <w:rPr>
                <w:rFonts w:ascii="Aptos" w:hAnsi="Aptos"/>
                <w:b/>
                <w:sz w:val="19"/>
              </w:rPr>
              <w:t>Client / React.js</w:t>
            </w:r>
          </w:p>
        </w:tc>
        <w:tc>
          <w:tcPr>
            <w:tcW w:type="dxa" w:w="5040"/>
            <w:vAlign w:val="center"/>
          </w:tcPr>
          <w:p>
            <w:r/>
            <w:r>
              <w:rPr>
                <w:rFonts w:ascii="Aptos" w:hAnsi="Aptos"/>
                <w:b w:val="0"/>
                <w:sz w:val="19"/>
              </w:rPr>
              <w:t>Sends user requests and consumes structured REST API responses.</w:t>
            </w:r>
          </w:p>
        </w:tc>
      </w:tr>
      <w:tr>
        <w:tc>
          <w:tcPr>
            <w:tcW w:type="dxa" w:w="5040"/>
            <w:vAlign w:val="center"/>
          </w:tcPr>
          <w:p>
            <w:r/>
            <w:r>
              <w:rPr>
                <w:rFonts w:ascii="Aptos" w:hAnsi="Aptos"/>
                <w:b/>
                <w:sz w:val="19"/>
              </w:rPr>
              <w:t>Express Server / Routes</w:t>
            </w:r>
          </w:p>
        </w:tc>
        <w:tc>
          <w:tcPr>
            <w:tcW w:type="dxa" w:w="5040"/>
            <w:vAlign w:val="center"/>
          </w:tcPr>
          <w:p>
            <w:r/>
            <w:r>
              <w:rPr>
                <w:rFonts w:ascii="Aptos" w:hAnsi="Aptos"/>
                <w:b w:val="0"/>
                <w:sz w:val="19"/>
              </w:rPr>
              <w:t>Receives requests and directs them to authentication, material, AI, or administrative operations.</w:t>
            </w:r>
          </w:p>
        </w:tc>
      </w:tr>
      <w:tr>
        <w:tc>
          <w:tcPr>
            <w:tcW w:type="dxa" w:w="5040"/>
            <w:vAlign w:val="center"/>
          </w:tcPr>
          <w:p>
            <w:r/>
            <w:r>
              <w:rPr>
                <w:rFonts w:ascii="Aptos" w:hAnsi="Aptos"/>
                <w:b/>
                <w:sz w:val="19"/>
              </w:rPr>
              <w:t>Authentication Middleware</w:t>
            </w:r>
          </w:p>
        </w:tc>
        <w:tc>
          <w:tcPr>
            <w:tcW w:type="dxa" w:w="5040"/>
            <w:vAlign w:val="center"/>
          </w:tcPr>
          <w:p>
            <w:r/>
            <w:r>
              <w:rPr>
                <w:rFonts w:ascii="Aptos" w:hAnsi="Aptos"/>
                <w:b w:val="0"/>
                <w:sz w:val="19"/>
              </w:rPr>
              <w:t>Verifies JWT access and applies role-based restrictions.</w:t>
            </w:r>
          </w:p>
        </w:tc>
      </w:tr>
      <w:tr>
        <w:tc>
          <w:tcPr>
            <w:tcW w:type="dxa" w:w="5040"/>
            <w:vAlign w:val="center"/>
          </w:tcPr>
          <w:p>
            <w:r/>
            <w:r>
              <w:rPr>
                <w:rFonts w:ascii="Aptos" w:hAnsi="Aptos"/>
                <w:b/>
                <w:sz w:val="19"/>
              </w:rPr>
              <w:t>Controllers</w:t>
            </w:r>
          </w:p>
        </w:tc>
        <w:tc>
          <w:tcPr>
            <w:tcW w:type="dxa" w:w="5040"/>
            <w:vAlign w:val="center"/>
          </w:tcPr>
          <w:p>
            <w:r/>
            <w:r>
              <w:rPr>
                <w:rFonts w:ascii="Aptos" w:hAnsi="Aptos"/>
                <w:b w:val="0"/>
                <w:sz w:val="19"/>
              </w:rPr>
              <w:t>Apply business logic and coordinate models and AI services.</w:t>
            </w:r>
          </w:p>
        </w:tc>
      </w:tr>
      <w:tr>
        <w:tc>
          <w:tcPr>
            <w:tcW w:type="dxa" w:w="5040"/>
            <w:vAlign w:val="center"/>
          </w:tcPr>
          <w:p>
            <w:r/>
            <w:r>
              <w:rPr>
                <w:rFonts w:ascii="Aptos" w:hAnsi="Aptos"/>
                <w:b/>
                <w:sz w:val="19"/>
              </w:rPr>
              <w:t>Mongoose Models</w:t>
            </w:r>
          </w:p>
        </w:tc>
        <w:tc>
          <w:tcPr>
            <w:tcW w:type="dxa" w:w="5040"/>
            <w:vAlign w:val="center"/>
          </w:tcPr>
          <w:p>
            <w:r/>
            <w:r>
              <w:rPr>
                <w:rFonts w:ascii="Aptos" w:hAnsi="Aptos"/>
                <w:b w:val="0"/>
                <w:sz w:val="19"/>
              </w:rPr>
              <w:t>Define and validate MongoDB data structures.</w:t>
            </w:r>
          </w:p>
        </w:tc>
      </w:tr>
      <w:tr>
        <w:tc>
          <w:tcPr>
            <w:tcW w:type="dxa" w:w="5040"/>
            <w:vAlign w:val="center"/>
          </w:tcPr>
          <w:p>
            <w:r/>
            <w:r>
              <w:rPr>
                <w:rFonts w:ascii="Aptos" w:hAnsi="Aptos"/>
                <w:b/>
                <w:sz w:val="19"/>
              </w:rPr>
              <w:t>MongoDB</w:t>
            </w:r>
          </w:p>
        </w:tc>
        <w:tc>
          <w:tcPr>
            <w:tcW w:type="dxa" w:w="5040"/>
            <w:vAlign w:val="center"/>
          </w:tcPr>
          <w:p>
            <w:r/>
            <w:r>
              <w:rPr>
                <w:rFonts w:ascii="Aptos" w:hAnsi="Aptos"/>
                <w:b w:val="0"/>
                <w:sz w:val="19"/>
              </w:rPr>
              <w:t>Stores users, study materials, and generated learning resources.</w:t>
            </w:r>
          </w:p>
        </w:tc>
      </w:tr>
      <w:tr>
        <w:tc>
          <w:tcPr>
            <w:tcW w:type="dxa" w:w="5040"/>
            <w:vAlign w:val="center"/>
          </w:tcPr>
          <w:p>
            <w:r/>
            <w:r>
              <w:rPr>
                <w:rFonts w:ascii="Aptos" w:hAnsi="Aptos"/>
                <w:b/>
                <w:sz w:val="19"/>
              </w:rPr>
              <w:t>Gemini AI Service</w:t>
            </w:r>
          </w:p>
        </w:tc>
        <w:tc>
          <w:tcPr>
            <w:tcW w:type="dxa" w:w="5040"/>
            <w:vAlign w:val="center"/>
          </w:tcPr>
          <w:p>
            <w:r/>
            <w:r>
              <w:rPr>
                <w:rFonts w:ascii="Aptos" w:hAnsi="Aptos"/>
                <w:b w:val="0"/>
                <w:sz w:val="19"/>
              </w:rPr>
              <w:t>Generates summaries, flashcards, quizzes, and personalized study plans from supplied study content.</w:t>
            </w:r>
          </w:p>
        </w:tc>
      </w:tr>
    </w:tbl>
    <w:p>
      <w:pPr>
        <w:pStyle w:val="Heading1"/>
      </w:pPr>
      <w:r>
        <w:t>8. Phase 2 Summary</w:t>
      </w:r>
    </w:p>
    <w:p>
      <w:pPr>
        <w:spacing w:after="120"/>
      </w:pPr>
      <w:r>
        <w:t>Phase 2 defines how the AI StudyBuddy system is organized internally and how its data is structured. The architecture uses a modular RESTful backend with Express.js, JWT authentication middleware, route handlers, an AI service layer, and MongoDB/Mongoose data management.</w:t>
      </w:r>
    </w:p>
    <w:p>
      <w:pPr>
        <w:spacing w:after="120"/>
      </w:pPr>
      <w:r>
        <w:t>The ER design identifies User, Study Material, Summary, Flashcard, Quiz, and Study Plan entities and documents their stated relationships. The user-flow design describes the movement from authentication to dashboard access, material upload, AI generation, resource storage, history, and profile management.</w:t>
      </w:r>
    </w:p>
    <w:p>
      <w:pPr>
        <w:spacing w:after="120"/>
      </w:pPr>
      <w:r>
        <w:t>The MVC pattern further separates the Model, View/API-response, and Controller responsibilities, supporting the modular organization described in the source document.</w:t>
      </w:r>
    </w:p>
    <w:p>
      <w:pPr>
        <w:pStyle w:val="Heading1"/>
      </w:pPr>
      <w:r>
        <w:t>Source Basis</w:t>
      </w:r>
    </w:p>
    <w:p>
      <w:pPr>
        <w:spacing w:after="120"/>
      </w:pPr>
      <w:r>
        <w:t>This document is derived from the supplied 23-page AI-StudyBuddy_API project document, particularly the architecture and data-design material presented on pages 4–10. Diagrams from the supplied document have been reused in the relevant sections.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StudyBuddy (LearnMate)  •  System Architecture &amp; Data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AI StudyBuddy (LearnMate)  |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