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4</w:t>
      </w:r>
    </w:p>
    <w:p>
      <w:pPr>
        <w:jc w:val="center"/>
      </w:pPr>
      <w:r>
        <w:rPr>
          <w:b/>
          <w:sz w:val="32"/>
        </w:rPr>
        <w:t>Backend Development</w:t>
      </w:r>
    </w:p>
    <w:p>
      <w:pPr>
        <w:jc w:val="center"/>
      </w:pPr>
      <w:r>
        <w:rPr>
          <w:sz w:val="24"/>
        </w:rPr>
        <w:t>Technical Documentation</w:t>
      </w:r>
    </w:p>
    <w:p>
      <w:r>
        <w:br w:type="page"/>
      </w:r>
    </w:p>
    <w:p>
      <w:pPr>
        <w:pStyle w:val="Heading1"/>
      </w:pPr>
      <w:r>
        <w:t>1. Phase 4 Scope</w:t>
      </w:r>
    </w:p>
    <w:p>
      <w:pPr>
        <w:spacing w:after="120"/>
      </w:pPr>
      <w:r>
        <w:t>Phase 4 documents the implementation of the AI StudyBuddy backend using Node.js, Express.js, and MongoDB, following the modular architecture described in the supplied project document.</w:t>
      </w:r>
    </w:p>
    <w:p>
      <w:pPr>
        <w:spacing w:after="120"/>
      </w:pPr>
      <w:r>
        <w:t>The backend separates routing, controllers, middleware, models, and utility modules. It exposes REST APIs for authentication, study-material management, AI-powered content generation, and administrative operations.</w:t>
      </w:r>
    </w:p>
    <w:p>
      <w:pPr>
        <w:pStyle w:val="Heading1"/>
      </w:pPr>
      <w:r>
        <w:t>2. Backend Development Overview</w:t>
      </w:r>
    </w:p>
    <w:p>
      <w:pPr>
        <w:spacing w:after="120"/>
      </w:pPr>
      <w:r>
        <w:t>The AI StudyBuddy backend is developed using Node.js, Express.js, and MongoDB, following a modular architecture. The application separates routing, controllers, middleware, models, and utility modules to improve code maintainability and scalability.</w:t>
      </w:r>
    </w:p>
    <w:p>
      <w:pPr>
        <w:spacing w:after="120"/>
      </w:pPr>
      <w:r>
        <w:t>The backend exposes secure REST APIs for authentication, study material management, AI-powered content generation, and administrative operations.</w:t>
      </w:r>
    </w:p>
    <w:p>
      <w:pPr>
        <w:jc w:val="center"/>
      </w:pPr>
      <w:r>
        <w:drawing>
          <wp:inline xmlns:a="http://schemas.openxmlformats.org/drawingml/2006/main" xmlns:pic="http://schemas.openxmlformats.org/drawingml/2006/picture">
            <wp:extent cx="4023360" cy="2441505"/>
            <wp:docPr id="1" name="Picture 1"/>
            <wp:cNvGraphicFramePr>
              <a:graphicFrameLocks noChangeAspect="1"/>
            </wp:cNvGraphicFramePr>
            <a:graphic>
              <a:graphicData uri="http://schemas.openxmlformats.org/drawingml/2006/picture">
                <pic:pic>
                  <pic:nvPicPr>
                    <pic:cNvPr id="0" name="img_06.png"/>
                    <pic:cNvPicPr/>
                  </pic:nvPicPr>
                  <pic:blipFill>
                    <a:blip r:embed="rId11"/>
                    <a:stretch>
                      <a:fillRect/>
                    </a:stretch>
                  </pic:blipFill>
                  <pic:spPr>
                    <a:xfrm>
                      <a:off x="0" y="0"/>
                      <a:ext cx="4023360" cy="2441505"/>
                    </a:xfrm>
                    <a:prstGeom prst="rect"/>
                  </pic:spPr>
                </pic:pic>
              </a:graphicData>
            </a:graphic>
          </wp:inline>
        </w:drawing>
      </w:r>
    </w:p>
    <w:p>
      <w:pPr>
        <w:jc w:val="center"/>
      </w:pPr>
      <w:r>
        <w:rPr>
          <w:i/>
          <w:sz w:val="17"/>
        </w:rPr>
        <w:t>Figure 2.1 — AI StudyBuddy backend structure shown in the supplied document (page 12)</w:t>
      </w:r>
    </w:p>
    <w:p>
      <w:pPr>
        <w:pStyle w:val="Heading2"/>
      </w:pPr>
      <w:r>
        <w:t>2.1 Backend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Module</w:t>
            </w:r>
          </w:p>
        </w:tc>
        <w:tc>
          <w:tcPr>
            <w:tcW w:type="dxa" w:w="5040"/>
            <w:vAlign w:val="center"/>
            <w:shd w:fill="D9EAF7"/>
          </w:tcPr>
          <w:p>
            <w:r/>
            <w:r>
              <w:rPr>
                <w:rFonts w:ascii="Aptos" w:hAnsi="Aptos"/>
                <w:b/>
                <w:sz w:val="19"/>
              </w:rPr>
              <w:t>Documented Responsibility</w:t>
            </w:r>
          </w:p>
        </w:tc>
      </w:tr>
      <w:tr>
        <w:tc>
          <w:tcPr>
            <w:tcW w:type="dxa" w:w="5040"/>
            <w:vAlign w:val="center"/>
          </w:tcPr>
          <w:p>
            <w:r/>
            <w:r>
              <w:rPr>
                <w:rFonts w:ascii="Aptos" w:hAnsi="Aptos"/>
                <w:b/>
                <w:sz w:val="19"/>
              </w:rPr>
              <w:t>Controllers</w:t>
            </w:r>
          </w:p>
        </w:tc>
        <w:tc>
          <w:tcPr>
            <w:tcW w:type="dxa" w:w="5040"/>
            <w:vAlign w:val="center"/>
          </w:tcPr>
          <w:p>
            <w:r/>
            <w:r>
              <w:rPr>
                <w:rFonts w:ascii="Aptos" w:hAnsi="Aptos"/>
                <w:b w:val="0"/>
                <w:sz w:val="19"/>
              </w:rPr>
              <w:t>Contains application/business operations for authentication, study materials, and administrative functions.</w:t>
            </w:r>
          </w:p>
        </w:tc>
      </w:tr>
      <w:tr>
        <w:tc>
          <w:tcPr>
            <w:tcW w:type="dxa" w:w="5040"/>
            <w:vAlign w:val="center"/>
          </w:tcPr>
          <w:p>
            <w:r/>
            <w:r>
              <w:rPr>
                <w:rFonts w:ascii="Aptos" w:hAnsi="Aptos"/>
                <w:b/>
                <w:sz w:val="19"/>
              </w:rPr>
              <w:t>Middleware</w:t>
            </w:r>
          </w:p>
        </w:tc>
        <w:tc>
          <w:tcPr>
            <w:tcW w:type="dxa" w:w="5040"/>
            <w:vAlign w:val="center"/>
          </w:tcPr>
          <w:p>
            <w:r/>
            <w:r>
              <w:rPr>
                <w:rFonts w:ascii="Aptos" w:hAnsi="Aptos"/>
                <w:b w:val="0"/>
                <w:sz w:val="19"/>
              </w:rPr>
              <w:t>Contains authentication and file-upload middleware.</w:t>
            </w:r>
          </w:p>
        </w:tc>
      </w:tr>
      <w:tr>
        <w:tc>
          <w:tcPr>
            <w:tcW w:type="dxa" w:w="5040"/>
            <w:vAlign w:val="center"/>
          </w:tcPr>
          <w:p>
            <w:r/>
            <w:r>
              <w:rPr>
                <w:rFonts w:ascii="Aptos" w:hAnsi="Aptos"/>
                <w:b/>
                <w:sz w:val="19"/>
              </w:rPr>
              <w:t>Models</w:t>
            </w:r>
          </w:p>
        </w:tc>
        <w:tc>
          <w:tcPr>
            <w:tcW w:type="dxa" w:w="5040"/>
            <w:vAlign w:val="center"/>
          </w:tcPr>
          <w:p>
            <w:r/>
            <w:r>
              <w:rPr>
                <w:rFonts w:ascii="Aptos" w:hAnsi="Aptos"/>
                <w:b w:val="0"/>
                <w:sz w:val="19"/>
              </w:rPr>
              <w:t>Contains MongoDB/Mongoose data models such as User and Material.</w:t>
            </w:r>
          </w:p>
        </w:tc>
      </w:tr>
      <w:tr>
        <w:tc>
          <w:tcPr>
            <w:tcW w:type="dxa" w:w="5040"/>
            <w:vAlign w:val="center"/>
          </w:tcPr>
          <w:p>
            <w:r/>
            <w:r>
              <w:rPr>
                <w:rFonts w:ascii="Aptos" w:hAnsi="Aptos"/>
                <w:b/>
                <w:sz w:val="19"/>
              </w:rPr>
              <w:t>Routes</w:t>
            </w:r>
          </w:p>
        </w:tc>
        <w:tc>
          <w:tcPr>
            <w:tcW w:type="dxa" w:w="5040"/>
            <w:vAlign w:val="center"/>
          </w:tcPr>
          <w:p>
            <w:r/>
            <w:r>
              <w:rPr>
                <w:rFonts w:ascii="Aptos" w:hAnsi="Aptos"/>
                <w:b w:val="0"/>
                <w:sz w:val="19"/>
              </w:rPr>
              <w:t>Defines API route groups for authentication, materials, and administration.</w:t>
            </w:r>
          </w:p>
        </w:tc>
      </w:tr>
      <w:tr>
        <w:tc>
          <w:tcPr>
            <w:tcW w:type="dxa" w:w="5040"/>
            <w:vAlign w:val="center"/>
          </w:tcPr>
          <w:p>
            <w:r/>
            <w:r>
              <w:rPr>
                <w:rFonts w:ascii="Aptos" w:hAnsi="Aptos"/>
                <w:b/>
                <w:sz w:val="19"/>
              </w:rPr>
              <w:t>Utils</w:t>
            </w:r>
          </w:p>
        </w:tc>
        <w:tc>
          <w:tcPr>
            <w:tcW w:type="dxa" w:w="5040"/>
            <w:vAlign w:val="center"/>
          </w:tcPr>
          <w:p>
            <w:r/>
            <w:r>
              <w:rPr>
                <w:rFonts w:ascii="Aptos" w:hAnsi="Aptos"/>
                <w:b w:val="0"/>
                <w:sz w:val="19"/>
              </w:rPr>
              <w:t>Contains shared utilities including database connection, Gemini AI integration, and token-related functionality.</w:t>
            </w:r>
          </w:p>
        </w:tc>
      </w:tr>
      <w:tr>
        <w:tc>
          <w:tcPr>
            <w:tcW w:type="dxa" w:w="5040"/>
            <w:vAlign w:val="center"/>
          </w:tcPr>
          <w:p>
            <w:r/>
            <w:r>
              <w:rPr>
                <w:rFonts w:ascii="Aptos" w:hAnsi="Aptos"/>
                <w:b/>
                <w:sz w:val="19"/>
              </w:rPr>
              <w:t>Application Entry Point</w:t>
            </w:r>
          </w:p>
        </w:tc>
        <w:tc>
          <w:tcPr>
            <w:tcW w:type="dxa" w:w="5040"/>
            <w:vAlign w:val="center"/>
          </w:tcPr>
          <w:p>
            <w:r/>
            <w:r>
              <w:rPr>
                <w:rFonts w:ascii="Aptos" w:hAnsi="Aptos"/>
                <w:b w:val="0"/>
                <w:sz w:val="19"/>
              </w:rPr>
              <w:t>index.js initializes the server, middleware, database connection, routes, and server startup.</w:t>
            </w:r>
          </w:p>
        </w:tc>
      </w:tr>
    </w:tbl>
    <w:p>
      <w:pPr>
        <w:pStyle w:val="Heading1"/>
      </w:pPr>
      <w:r>
        <w:t>3. Core System Script Implementations</w:t>
      </w:r>
    </w:p>
    <w:p>
      <w:pPr>
        <w:pStyle w:val="Heading2"/>
      </w:pPr>
      <w:r>
        <w:t>3.1 Application Entry Point — index.js</w:t>
      </w:r>
    </w:p>
    <w:p>
      <w:pPr>
        <w:spacing w:after="120"/>
      </w:pPr>
      <w: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pPr>
        <w:spacing w:after="120"/>
      </w:pPr>
      <w:r>
        <w:t>The supplied implementation shown in the source document configures JSON request handling, CORS, authentication/material/administrative route groups, a health-check endpoint, a global error handler, the server port, and database-dependent startup.</w:t>
      </w:r>
    </w:p>
    <w:p>
      <w:pPr>
        <w:jc w:val="center"/>
      </w:pPr>
      <w:r>
        <w:drawing>
          <wp:inline xmlns:a="http://schemas.openxmlformats.org/drawingml/2006/main" xmlns:pic="http://schemas.openxmlformats.org/drawingml/2006/picture">
            <wp:extent cx="5897880" cy="6289332"/>
            <wp:docPr id="2" name="Picture 2"/>
            <wp:cNvGraphicFramePr>
              <a:graphicFrameLocks noChangeAspect="1"/>
            </wp:cNvGraphicFramePr>
            <a:graphic>
              <a:graphicData uri="http://schemas.openxmlformats.org/drawingml/2006/picture">
                <pic:pic>
                  <pic:nvPicPr>
                    <pic:cNvPr id="0" name="img_07.png"/>
                    <pic:cNvPicPr/>
                  </pic:nvPicPr>
                  <pic:blipFill>
                    <a:blip r:embed="rId12"/>
                    <a:stretch>
                      <a:fillRect/>
                    </a:stretch>
                  </pic:blipFill>
                  <pic:spPr>
                    <a:xfrm>
                      <a:off x="0" y="0"/>
                      <a:ext cx="5897880" cy="6289332"/>
                    </a:xfrm>
                    <a:prstGeom prst="rect"/>
                  </pic:spPr>
                </pic:pic>
              </a:graphicData>
            </a:graphic>
          </wp:inline>
        </w:drawing>
      </w:r>
    </w:p>
    <w:p>
      <w:pPr>
        <w:jc w:val="center"/>
      </w:pPr>
      <w:r>
        <w:rPr>
          <w:i/>
          <w:sz w:val="17"/>
        </w:rPr>
        <w:t>Figure 3.1 — index.js implementation shown in the supplied document (page 13)</w:t>
      </w:r>
    </w:p>
    <w:p>
      <w:pPr>
        <w:pStyle w:val="Heading2"/>
      </w:pPr>
      <w:r>
        <w:t>3.2 Database Connection — src/utils/db.js</w:t>
      </w:r>
    </w:p>
    <w:p>
      <w:pPr>
        <w:spacing w:after="120"/>
      </w:pPr>
      <w:r>
        <w:t>The database connection module establishes communication between the application and MongoDB using Mongoose. It ensures that the backend communicates with the database before processing client requests.</w:t>
      </w:r>
    </w:p>
    <w:p>
      <w:pPr>
        <w:spacing w:after="120"/>
      </w:pPr>
      <w:r>
        <w:t>The supplied implementation loads environment configuration, calls mongoose.connect() with process.env.MONGO_URI, logs the connected MongoDB host, and exports the connectDB function.</w:t>
      </w:r>
    </w:p>
    <w:p>
      <w:pPr>
        <w:jc w:val="center"/>
      </w:pPr>
      <w:r>
        <w:drawing>
          <wp:inline xmlns:a="http://schemas.openxmlformats.org/drawingml/2006/main" xmlns:pic="http://schemas.openxmlformats.org/drawingml/2006/picture">
            <wp:extent cx="5897880" cy="10752685"/>
            <wp:docPr id="3" name="Picture 3"/>
            <wp:cNvGraphicFramePr>
              <a:graphicFrameLocks noChangeAspect="1"/>
            </wp:cNvGraphicFramePr>
            <a:graphic>
              <a:graphicData uri="http://schemas.openxmlformats.org/drawingml/2006/picture">
                <pic:pic>
                  <pic:nvPicPr>
                    <pic:cNvPr id="0" name="img_08.png"/>
                    <pic:cNvPicPr/>
                  </pic:nvPicPr>
                  <pic:blipFill>
                    <a:blip r:embed="rId13"/>
                    <a:stretch>
                      <a:fillRect/>
                    </a:stretch>
                  </pic:blipFill>
                  <pic:spPr>
                    <a:xfrm>
                      <a:off x="0" y="0"/>
                      <a:ext cx="5897880" cy="10752685"/>
                    </a:xfrm>
                    <a:prstGeom prst="rect"/>
                  </pic:spPr>
                </pic:pic>
              </a:graphicData>
            </a:graphic>
          </wp:inline>
        </w:drawing>
      </w:r>
    </w:p>
    <w:p>
      <w:pPr>
        <w:jc w:val="center"/>
      </w:pPr>
      <w:r>
        <w:rPr>
          <w:i/>
          <w:sz w:val="17"/>
        </w:rPr>
        <w:t>Figure 3.2 — src/utils/db.js implementation shown in the supplied document (page 13)</w:t>
      </w:r>
    </w:p>
    <w:p>
      <w:pPr>
        <w:pStyle w:val="Heading2"/>
      </w:pPr>
      <w:r>
        <w:t>3.3 Authentication Middleware — src/middleware/auth.js</w:t>
      </w:r>
    </w:p>
    <w:p>
      <w:pPr>
        <w:spacing w:after="120"/>
      </w:pPr>
      <w:r>
        <w:t>The authentication middleware verifies JWT access tokens for protected routes. It authenticates users before granting access to secured APIs and includes role-based authorization to restrict administrative operations.</w:t>
      </w:r>
    </w:p>
    <w:p>
      <w:pPr>
        <w:spacing w:after="120"/>
      </w:pPr>
      <w:r>
        <w:t>The documented middleware reads the Authorization header, expects a Bearer token, verifies the token, attaches the decoded user information to the request, and returns an authentication error when the token is missing, invalid, or expired. The admin-only middleware checks the user's role before allowing access to administrative operations.</w:t>
      </w:r>
    </w:p>
    <w:p>
      <w:pPr>
        <w:jc w:val="center"/>
      </w:pPr>
      <w:r>
        <w:drawing>
          <wp:inline xmlns:a="http://schemas.openxmlformats.org/drawingml/2006/main" xmlns:pic="http://schemas.openxmlformats.org/drawingml/2006/picture">
            <wp:extent cx="5897880" cy="4960390"/>
            <wp:docPr id="4" name="Picture 4"/>
            <wp:cNvGraphicFramePr>
              <a:graphicFrameLocks noChangeAspect="1"/>
            </wp:cNvGraphicFramePr>
            <a:graphic>
              <a:graphicData uri="http://schemas.openxmlformats.org/drawingml/2006/picture">
                <pic:pic>
                  <pic:nvPicPr>
                    <pic:cNvPr id="0" name="img_09.png"/>
                    <pic:cNvPicPr/>
                  </pic:nvPicPr>
                  <pic:blipFill>
                    <a:blip r:embed="rId14"/>
                    <a:stretch>
                      <a:fillRect/>
                    </a:stretch>
                  </pic:blipFill>
                  <pic:spPr>
                    <a:xfrm>
                      <a:off x="0" y="0"/>
                      <a:ext cx="5897880" cy="4960390"/>
                    </a:xfrm>
                    <a:prstGeom prst="rect"/>
                  </pic:spPr>
                </pic:pic>
              </a:graphicData>
            </a:graphic>
          </wp:inline>
        </w:drawing>
      </w:r>
    </w:p>
    <w:p>
      <w:pPr>
        <w:jc w:val="center"/>
      </w:pPr>
      <w:r>
        <w:rPr>
          <w:i/>
          <w:sz w:val="17"/>
        </w:rPr>
        <w:t>Figure 3.3 — JWT authentication and admin authorization middleware shown in the supplied document (page 14)</w:t>
      </w:r>
    </w:p>
    <w:p>
      <w:pPr>
        <w:pStyle w:val="Heading2"/>
      </w:pPr>
      <w:r>
        <w:t>3.4 AI Integration — src/utils/gemini.js</w:t>
      </w:r>
    </w:p>
    <w:p>
      <w:pPr>
        <w:spacing w:after="120"/>
      </w:pPr>
      <w:r>
        <w:t>The AI integration utility connects the backend with the Google Gemini 2.5 Flash API. It sends prompts to the AI model and returns generated responses for summaries, flashcards, quizzes, and study plans.</w:t>
      </w:r>
    </w:p>
    <w:p>
      <w:pPr>
        <w:spacing w:after="120"/>
      </w:pPr>
      <w:r>
        <w:t>The supplied implementation creates a Google Generative AI client using GEMINI_API_KEY, selects the gemini-2.5-flash model, defines an asynchronous askGemini function, sends the supplied prompt to the model, and returns the generated response text.</w:t>
      </w:r>
    </w:p>
    <w:p>
      <w:pPr>
        <w:jc w:val="center"/>
      </w:pPr>
      <w:r>
        <w:drawing>
          <wp:inline xmlns:a="http://schemas.openxmlformats.org/drawingml/2006/main" xmlns:pic="http://schemas.openxmlformats.org/drawingml/2006/picture">
            <wp:extent cx="5897880" cy="2612589"/>
            <wp:docPr id="5" name="Picture 5"/>
            <wp:cNvGraphicFramePr>
              <a:graphicFrameLocks noChangeAspect="1"/>
            </wp:cNvGraphicFramePr>
            <a:graphic>
              <a:graphicData uri="http://schemas.openxmlformats.org/drawingml/2006/picture">
                <pic:pic>
                  <pic:nvPicPr>
                    <pic:cNvPr id="0" name="img_10.png"/>
                    <pic:cNvPicPr/>
                  </pic:nvPicPr>
                  <pic:blipFill>
                    <a:blip r:embed="rId15"/>
                    <a:stretch>
                      <a:fillRect/>
                    </a:stretch>
                  </pic:blipFill>
                  <pic:spPr>
                    <a:xfrm>
                      <a:off x="0" y="0"/>
                      <a:ext cx="5897880" cy="2612589"/>
                    </a:xfrm>
                    <a:prstGeom prst="rect"/>
                  </pic:spPr>
                </pic:pic>
              </a:graphicData>
            </a:graphic>
          </wp:inline>
        </w:drawing>
      </w:r>
    </w:p>
    <w:p>
      <w:pPr>
        <w:jc w:val="center"/>
      </w:pPr>
      <w:r>
        <w:rPr>
          <w:i/>
          <w:sz w:val="17"/>
        </w:rPr>
        <w:t>Figure 3.4 — Google Gemini 2.5 Flash integration shown in the supplied document (page 14)</w:t>
      </w:r>
    </w:p>
    <w:p>
      <w:pPr>
        <w:pStyle w:val="Heading2"/>
      </w:pPr>
      <w:r>
        <w:t>3.5 File Upload Middleware — src/middleware/upload.js</w:t>
      </w:r>
    </w:p>
    <w:p>
      <w:pPr>
        <w:spacing w:after="120"/>
      </w:pPr>
      <w:r>
        <w:t>The upload middleware handles study-material uploads and validates incoming files before they are processed by the backend.</w:t>
      </w:r>
    </w:p>
    <w:p>
      <w:pPr>
        <w:spacing w:after="120"/>
      </w:pPr>
      <w:r>
        <w:t>The supplied implementation uses Multer storage configuration, generates a unique filename, places uploaded files in an uploads directory, and applies a file filter. The documented filter allows .txt, .md, and .pdf files and rejects other extensions. The upload configuration also applies a 5 MB file-size limit.</w:t>
      </w:r>
    </w:p>
    <w:p>
      <w:pPr>
        <w:jc w:val="center"/>
      </w:pPr>
      <w:r>
        <w:drawing>
          <wp:inline xmlns:a="http://schemas.openxmlformats.org/drawingml/2006/main" xmlns:pic="http://schemas.openxmlformats.org/drawingml/2006/picture">
            <wp:extent cx="5897880" cy="4678803"/>
            <wp:docPr id="6" name="Picture 6"/>
            <wp:cNvGraphicFramePr>
              <a:graphicFrameLocks noChangeAspect="1"/>
            </wp:cNvGraphicFramePr>
            <a:graphic>
              <a:graphicData uri="http://schemas.openxmlformats.org/drawingml/2006/picture">
                <pic:pic>
                  <pic:nvPicPr>
                    <pic:cNvPr id="0" name="img_11.png"/>
                    <pic:cNvPicPr/>
                  </pic:nvPicPr>
                  <pic:blipFill>
                    <a:blip r:embed="rId16"/>
                    <a:stretch>
                      <a:fillRect/>
                    </a:stretch>
                  </pic:blipFill>
                  <pic:spPr>
                    <a:xfrm>
                      <a:off x="0" y="0"/>
                      <a:ext cx="5897880" cy="4678803"/>
                    </a:xfrm>
                    <a:prstGeom prst="rect"/>
                  </pic:spPr>
                </pic:pic>
              </a:graphicData>
            </a:graphic>
          </wp:inline>
        </w:drawing>
      </w:r>
    </w:p>
    <w:p>
      <w:pPr>
        <w:jc w:val="center"/>
      </w:pPr>
      <w:r>
        <w:rPr>
          <w:i/>
          <w:sz w:val="17"/>
        </w:rPr>
        <w:t>Figure 3.5 — File upload middleware shown in the supplied document (page 15)</w:t>
      </w:r>
    </w:p>
    <w:p>
      <w:pPr>
        <w:pStyle w:val="Heading1"/>
      </w:pPr>
      <w:r>
        <w:t>4. Backend Request Processing</w:t>
      </w:r>
    </w:p>
    <w:p>
      <w:pPr>
        <w:spacing w:after="120"/>
      </w:pPr>
      <w:r>
        <w:t>The documented backend structure organizes request processing across route, middleware, controller, model, and utility layers.</w:t>
      </w:r>
    </w:p>
    <w:p>
      <w:pPr>
        <w:pStyle w:val="ListBullet"/>
        <w:spacing w:after="60"/>
      </w:pPr>
      <w:r>
        <w:t>A client request enters the Express server through an appropriate API route.</w:t>
      </w:r>
    </w:p>
    <w:p>
      <w:pPr>
        <w:pStyle w:val="ListBullet"/>
        <w:spacing w:after="60"/>
      </w:pPr>
      <w:r>
        <w:t>Authentication middleware protects routes that require a logged-in user.</w:t>
      </w:r>
    </w:p>
    <w:p>
      <w:pPr>
        <w:pStyle w:val="ListBullet"/>
        <w:spacing w:after="60"/>
      </w:pPr>
      <w:r>
        <w:t>Role-based authorization can restrict administrative operations.</w:t>
      </w:r>
    </w:p>
    <w:p>
      <w:pPr>
        <w:pStyle w:val="ListBullet"/>
        <w:spacing w:after="60"/>
      </w:pPr>
      <w:r>
        <w:t>Controllers perform the relevant business operation.</w:t>
      </w:r>
    </w:p>
    <w:p>
      <w:pPr>
        <w:pStyle w:val="ListBullet"/>
        <w:spacing w:after="60"/>
      </w:pPr>
      <w:r>
        <w:t>Models and database utilities provide access to MongoDB data.</w:t>
      </w:r>
    </w:p>
    <w:p>
      <w:pPr>
        <w:pStyle w:val="ListBullet"/>
        <w:spacing w:after="60"/>
      </w:pPr>
      <w:r>
        <w:t>The Gemini utility is invoked when an AI-generated learning resource is required.</w:t>
      </w:r>
    </w:p>
    <w:p>
      <w:pPr>
        <w:pStyle w:val="ListBullet"/>
        <w:spacing w:after="60"/>
      </w:pPr>
      <w:r>
        <w:t>The backend returns the resulting response to the client through the REST API.</w:t>
      </w:r>
    </w:p>
    <w:p>
      <w:pPr>
        <w:pStyle w:val="Heading1"/>
      </w:pPr>
      <w:r>
        <w:t>5. Component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File / Module</w:t>
            </w:r>
          </w:p>
        </w:tc>
        <w:tc>
          <w:tcPr>
            <w:tcW w:type="dxa" w:w="5040"/>
            <w:vAlign w:val="center"/>
            <w:shd w:fill="D9EAF7"/>
          </w:tcPr>
          <w:p>
            <w:r/>
            <w:r>
              <w:rPr>
                <w:rFonts w:ascii="Aptos" w:hAnsi="Aptos"/>
                <w:b/>
                <w:sz w:val="19"/>
              </w:rPr>
              <w:t>Primary Responsibility</w:t>
            </w:r>
          </w:p>
        </w:tc>
      </w:tr>
      <w:tr>
        <w:tc>
          <w:tcPr>
            <w:tcW w:type="dxa" w:w="5040"/>
            <w:vAlign w:val="center"/>
          </w:tcPr>
          <w:p>
            <w:r/>
            <w:r>
              <w:rPr>
                <w:rFonts w:ascii="Aptos" w:hAnsi="Aptos"/>
                <w:b/>
                <w:sz w:val="19"/>
              </w:rPr>
              <w:t>index.js</w:t>
            </w:r>
          </w:p>
        </w:tc>
        <w:tc>
          <w:tcPr>
            <w:tcW w:type="dxa" w:w="5040"/>
            <w:vAlign w:val="center"/>
          </w:tcPr>
          <w:p>
            <w:r/>
            <w:r>
              <w:rPr>
                <w:rFonts w:ascii="Aptos" w:hAnsi="Aptos"/>
                <w:b w:val="0"/>
                <w:sz w:val="19"/>
              </w:rPr>
              <w:t>Application initialization, middleware setup, route registration, health check, error handling, database-dependent startup.</w:t>
            </w:r>
          </w:p>
        </w:tc>
      </w:tr>
      <w:tr>
        <w:tc>
          <w:tcPr>
            <w:tcW w:type="dxa" w:w="5040"/>
            <w:vAlign w:val="center"/>
          </w:tcPr>
          <w:p>
            <w:r/>
            <w:r>
              <w:rPr>
                <w:rFonts w:ascii="Aptos" w:hAnsi="Aptos"/>
                <w:b/>
                <w:sz w:val="19"/>
              </w:rPr>
              <w:t>src/utils/db.js</w:t>
            </w:r>
          </w:p>
        </w:tc>
        <w:tc>
          <w:tcPr>
            <w:tcW w:type="dxa" w:w="5040"/>
            <w:vAlign w:val="center"/>
          </w:tcPr>
          <w:p>
            <w:r/>
            <w:r>
              <w:rPr>
                <w:rFonts w:ascii="Aptos" w:hAnsi="Aptos"/>
                <w:b w:val="0"/>
                <w:sz w:val="19"/>
              </w:rPr>
              <w:t>MongoDB connection using Mongoose.</w:t>
            </w:r>
          </w:p>
        </w:tc>
      </w:tr>
      <w:tr>
        <w:tc>
          <w:tcPr>
            <w:tcW w:type="dxa" w:w="5040"/>
            <w:vAlign w:val="center"/>
          </w:tcPr>
          <w:p>
            <w:r/>
            <w:r>
              <w:rPr>
                <w:rFonts w:ascii="Aptos" w:hAnsi="Aptos"/>
                <w:b/>
                <w:sz w:val="19"/>
              </w:rPr>
              <w:t>src/middleware/auth.js</w:t>
            </w:r>
          </w:p>
        </w:tc>
        <w:tc>
          <w:tcPr>
            <w:tcW w:type="dxa" w:w="5040"/>
            <w:vAlign w:val="center"/>
          </w:tcPr>
          <w:p>
            <w:r/>
            <w:r>
              <w:rPr>
                <w:rFonts w:ascii="Aptos" w:hAnsi="Aptos"/>
                <w:b w:val="0"/>
                <w:sz w:val="19"/>
              </w:rPr>
              <w:t>JWT verification and role-based administrative authorization.</w:t>
            </w:r>
          </w:p>
        </w:tc>
      </w:tr>
      <w:tr>
        <w:tc>
          <w:tcPr>
            <w:tcW w:type="dxa" w:w="5040"/>
            <w:vAlign w:val="center"/>
          </w:tcPr>
          <w:p>
            <w:r/>
            <w:r>
              <w:rPr>
                <w:rFonts w:ascii="Aptos" w:hAnsi="Aptos"/>
                <w:b/>
                <w:sz w:val="19"/>
              </w:rPr>
              <w:t>src/utils/gemini.js</w:t>
            </w:r>
          </w:p>
        </w:tc>
        <w:tc>
          <w:tcPr>
            <w:tcW w:type="dxa" w:w="5040"/>
            <w:vAlign w:val="center"/>
          </w:tcPr>
          <w:p>
            <w:r/>
            <w:r>
              <w:rPr>
                <w:rFonts w:ascii="Aptos" w:hAnsi="Aptos"/>
                <w:b w:val="0"/>
                <w:sz w:val="19"/>
              </w:rPr>
              <w:t>Google Gemini 2.5 Flash communication and generated response retrieval.</w:t>
            </w:r>
          </w:p>
        </w:tc>
      </w:tr>
      <w:tr>
        <w:tc>
          <w:tcPr>
            <w:tcW w:type="dxa" w:w="5040"/>
            <w:vAlign w:val="center"/>
          </w:tcPr>
          <w:p>
            <w:r/>
            <w:r>
              <w:rPr>
                <w:rFonts w:ascii="Aptos" w:hAnsi="Aptos"/>
                <w:b/>
                <w:sz w:val="19"/>
              </w:rPr>
              <w:t>src/middleware/upload.js</w:t>
            </w:r>
          </w:p>
        </w:tc>
        <w:tc>
          <w:tcPr>
            <w:tcW w:type="dxa" w:w="5040"/>
            <w:vAlign w:val="center"/>
          </w:tcPr>
          <w:p>
            <w:r/>
            <w:r>
              <w:rPr>
                <w:rFonts w:ascii="Aptos" w:hAnsi="Aptos"/>
                <w:b w:val="0"/>
                <w:sz w:val="19"/>
              </w:rPr>
              <w:t>Study-material upload storage and file validation.</w:t>
            </w:r>
          </w:p>
        </w:tc>
      </w:tr>
    </w:tbl>
    <w:p>
      <w:pPr>
        <w:pStyle w:val="Heading1"/>
      </w:pPr>
      <w:r>
        <w:t>6. Backend Implementation Flow</w:t>
      </w:r>
    </w:p>
    <w:p>
      <w:pPr>
        <w:pStyle w:val="ListNumber"/>
        <w:spacing w:after="60"/>
      </w:pPr>
      <w:r>
        <w:t>Initialize the Node.js/Express application.</w:t>
      </w:r>
    </w:p>
    <w:p>
      <w:pPr>
        <w:pStyle w:val="ListNumber"/>
        <w:spacing w:after="60"/>
      </w:pPr>
      <w:r>
        <w:t>Load environment variables.</w:t>
      </w:r>
    </w:p>
    <w:p>
      <w:pPr>
        <w:pStyle w:val="ListNumber"/>
        <w:spacing w:after="60"/>
      </w:pPr>
      <w:r>
        <w:t>Configure Express middleware.</w:t>
      </w:r>
    </w:p>
    <w:p>
      <w:pPr>
        <w:pStyle w:val="ListNumber"/>
        <w:spacing w:after="60"/>
      </w:pPr>
      <w:r>
        <w:t>Connect to MongoDB using the database utility.</w:t>
      </w:r>
    </w:p>
    <w:p>
      <w:pPr>
        <w:pStyle w:val="ListNumber"/>
        <w:spacing w:after="60"/>
      </w:pPr>
      <w:r>
        <w:t>Register authentication, material, and administrative routes.</w:t>
      </w:r>
    </w:p>
    <w:p>
      <w:pPr>
        <w:pStyle w:val="ListNumber"/>
        <w:spacing w:after="60"/>
      </w:pPr>
      <w:r>
        <w:t>Protect required endpoints with JWT authentication middleware.</w:t>
      </w:r>
    </w:p>
    <w:p>
      <w:pPr>
        <w:pStyle w:val="ListNumber"/>
        <w:spacing w:after="60"/>
      </w:pPr>
      <w:r>
        <w:t>Validate uploaded study-material files through the upload middleware.</w:t>
      </w:r>
    </w:p>
    <w:p>
      <w:pPr>
        <w:pStyle w:val="ListNumber"/>
        <w:spacing w:after="60"/>
      </w:pPr>
      <w:r>
        <w:t>Execute controller logic for the requested operation.</w:t>
      </w:r>
    </w:p>
    <w:p>
      <w:pPr>
        <w:pStyle w:val="ListNumber"/>
        <w:spacing w:after="60"/>
      </w:pPr>
      <w:r>
        <w:t>Use the Gemini service for AI-powered content generation where required.</w:t>
      </w:r>
    </w:p>
    <w:p>
      <w:pPr>
        <w:pStyle w:val="ListNumber"/>
        <w:spacing w:after="60"/>
      </w:pPr>
      <w:r>
        <w:t>Return the generated result or operation status as an API response.</w:t>
      </w:r>
    </w:p>
    <w:p>
      <w:pPr>
        <w:pStyle w:val="Heading1"/>
      </w:pPr>
      <w:r>
        <w:t>7. Backend Development Demonstration</w:t>
      </w:r>
    </w:p>
    <w:p>
      <w:pPr>
        <w:spacing w:after="120"/>
      </w:pPr>
      <w:r>
        <w:t>The supplied project document identifies a backend development demonstration video:</w:t>
      </w:r>
    </w:p>
    <w:p>
      <w:pPr>
        <w:spacing w:after="120"/>
      </w:pPr>
      <w:r>
        <w:t>AI_Studybuddy_Backend_Demo.mkv</w:t>
      </w:r>
    </w:p>
    <w:p>
      <w:pPr>
        <w:spacing w:after="120"/>
      </w:pPr>
      <w:r>
        <w:t>The source document names this file as the backend development demonstration associated with the implementation.</w:t>
      </w:r>
    </w:p>
    <w:p>
      <w:pPr>
        <w:pStyle w:val="Heading1"/>
      </w:pPr>
      <w:r>
        <w:t>8. Phase 4 Summary</w:t>
      </w:r>
    </w:p>
    <w:p>
      <w:pPr>
        <w:spacing w:after="120"/>
      </w:pPr>
      <w:r>
        <w:t>Phase 4 implements the core backend foundation of AI StudyBuddy. The application uses Node.js and Express.js and follows a modular organization that separates controllers, middleware, models, routes, and utilities.</w:t>
      </w:r>
    </w:p>
    <w:p>
      <w:pPr>
        <w:spacing w:after="120"/>
      </w:pPr>
      <w:r>
        <w:t>The documented implementation includes an Express application entry point, a Mongoose-based MongoDB connection utility, JWT authentication and admin authorization middleware, Google Gemini 2.5 Flash integration, and file-upload validation using Multer.</w:t>
      </w:r>
    </w:p>
    <w:p>
      <w:pPr>
        <w:spacing w:after="120"/>
      </w:pPr>
      <w:r>
        <w:t>Together, these modules provide the backend foundation required for secure authentication, study-material handling, database interaction, and AI-powered educational content generation.</w:t>
      </w:r>
    </w:p>
    <w:p>
      <w:pPr>
        <w:pStyle w:val="Heading1"/>
      </w:pPr>
      <w:r>
        <w:t>Source Basis</w:t>
      </w:r>
    </w:p>
    <w:p>
      <w:pPr>
        <w:spacing w:after="120"/>
      </w:pPr>
      <w:r>
        <w:t>This Phase 4 document is derived from the supplied 23-page AI-StudyBuddy_API project document, particularly the Backend Development material on pages 12–15. The implementation screenshots from those pages have been reused in the relevant sections.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Backend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