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AI STUDYBUDDY</w:t>
      </w:r>
    </w:p>
    <w:p>
      <w:pPr>
        <w:jc w:val="center"/>
      </w:pPr>
      <w:r>
        <w:rPr>
          <w:b/>
          <w:sz w:val="40"/>
        </w:rPr>
        <w:t>(LearnMate)</w:t>
      </w:r>
    </w:p>
    <w:p>
      <w:pPr>
        <w:jc w:val="center"/>
      </w:pPr>
      <w:r>
        <w:rPr>
          <w:b/>
          <w:sz w:val="36"/>
        </w:rPr>
        <w:t>PHASE 5</w:t>
      </w:r>
    </w:p>
    <w:p>
      <w:pPr>
        <w:jc w:val="center"/>
      </w:pPr>
      <w:r>
        <w:rPr>
          <w:b/>
          <w:sz w:val="32"/>
        </w:rPr>
        <w:t>Database Configuration &amp; Data Models</w:t>
      </w:r>
    </w:p>
    <w:p>
      <w:pPr>
        <w:jc w:val="center"/>
      </w:pPr>
      <w:r>
        <w:rPr>
          <w:sz w:val="24"/>
        </w:rPr>
        <w:t>Technical Documentation</w:t>
      </w:r>
    </w:p>
    <w:p>
      <w:r>
        <w:br w:type="page"/>
      </w:r>
    </w:p>
    <w:p>
      <w:pPr>
        <w:pStyle w:val="Heading1"/>
      </w:pPr>
      <w:r>
        <w:t>1. Phase 5 Scope</w:t>
      </w:r>
    </w:p>
    <w:p>
      <w:pPr>
        <w:spacing w:after="120"/>
      </w:pPr>
      <w:r>
        <w:t>Phase 5 documents the MongoDB database configuration and Mongoose data-model definitions specified in the supplied AI StudyBuddy project document.</w:t>
      </w:r>
    </w:p>
    <w:p>
      <w:pPr>
        <w:spacing w:after="120"/>
      </w:pPr>
      <w:r>
        <w:t>The source identifies MongoDB as the primary NoSQL database and Mongoose ODM as the layer responsible for data modeling, schema validation, and database interaction. This phase covers database configuration, the connection process, documented schemas, database collections, and the API route interface that interacts with database and AI services.</w:t>
      </w:r>
    </w:p>
    <w:p>
      <w:pPr>
        <w:pStyle w:val="Heading1"/>
      </w:pPr>
      <w:r>
        <w:t>2. Database Configuration Overview</w:t>
      </w:r>
    </w:p>
    <w:p>
      <w:pPr>
        <w:spacing w:after="120"/>
      </w:pPr>
      <w:r>
        <w:t>The AI StudyBuddy backend uses MongoDB as its primary NoSQL database and Mongoose ODM for data modeling and schema validation.</w:t>
      </w:r>
    </w:p>
    <w:p>
      <w:pPr>
        <w:spacing w:after="120"/>
      </w:pPr>
      <w:r>
        <w:t>MongoDB stores user information, uploaded study materials, and AI-generated learning resources in a structured manner. Mongoose simplifies database operations by providing schemas, validation rules, and efficient query handling.</w:t>
      </w:r>
    </w:p>
    <w:p>
      <w:pPr>
        <w:pStyle w:val="Heading1"/>
      </w:pPr>
      <w:r>
        <w:t>3. Configure MongoDB</w:t>
      </w:r>
    </w:p>
    <w:p>
      <w:pPr>
        <w:spacing w:after="120"/>
      </w:pPr>
      <w:r>
        <w:t>The supplied project document specifies Mongoose as the database-access dependency.</w:t>
      </w:r>
    </w:p>
    <w:p>
      <w:pPr>
        <w:spacing w:after="160"/>
        <w:ind w:left="288" w:right="288"/>
        <w:shd w:fill="F1F3F5"/>
      </w:pPr>
      <w:r>
        <w:rPr>
          <w:rFonts w:ascii="Consolas" w:hAnsi="Consolas"/>
          <w:sz w:val="18"/>
        </w:rPr>
        <w:t>npm install mongoose</w:t>
      </w:r>
    </w:p>
    <w:p>
      <w:pPr>
        <w:pStyle w:val="Heading1"/>
      </w:pPr>
      <w:r>
        <w:t>4. Create Database Connection</w:t>
      </w:r>
    </w:p>
    <w:p>
      <w:pPr>
        <w:spacing w:after="120"/>
      </w:pPr>
      <w:r>
        <w:t>Before performing any database operations, the backend establishes a connection between the application and MongoDB using Mongoose. The connection module is initialized during server startup to ensure reliable communication with the database.</w:t>
      </w:r>
    </w:p>
    <w:p>
      <w:pPr>
        <w:spacing w:after="120"/>
      </w:pPr>
      <w:r>
        <w:t>The connection implementation is located at src/utils/db.js and uses the MongoDB connection string supplied through the environment configuration.</w:t>
      </w:r>
    </w:p>
    <w:p>
      <w:pPr>
        <w:jc w:val="center"/>
      </w:pPr>
      <w:r>
        <w:drawing>
          <wp:inline xmlns:a="http://schemas.openxmlformats.org/drawingml/2006/main" xmlns:pic="http://schemas.openxmlformats.org/drawingml/2006/picture">
            <wp:extent cx="5897880" cy="3608184"/>
            <wp:docPr id="1" name="Picture 1"/>
            <wp:cNvGraphicFramePr>
              <a:graphicFrameLocks noChangeAspect="1"/>
            </wp:cNvGraphicFramePr>
            <a:graphic>
              <a:graphicData uri="http://schemas.openxmlformats.org/drawingml/2006/picture">
                <pic:pic>
                  <pic:nvPicPr>
                    <pic:cNvPr id="0" name="img_13.png"/>
                    <pic:cNvPicPr/>
                  </pic:nvPicPr>
                  <pic:blipFill>
                    <a:blip r:embed="rId11"/>
                    <a:stretch>
                      <a:fillRect/>
                    </a:stretch>
                  </pic:blipFill>
                  <pic:spPr>
                    <a:xfrm>
                      <a:off x="0" y="0"/>
                      <a:ext cx="5897880" cy="3608184"/>
                    </a:xfrm>
                    <a:prstGeom prst="rect"/>
                  </pic:spPr>
                </pic:pic>
              </a:graphicData>
            </a:graphic>
          </wp:inline>
        </w:drawing>
      </w:r>
    </w:p>
    <w:p>
      <w:pPr>
        <w:jc w:val="center"/>
      </w:pPr>
      <w:r>
        <w:rPr>
          <w:i/>
          <w:sz w:val="17"/>
        </w:rPr>
        <w:t>Figure 4.1 — MongoDB connection implementation shown in the supplied document (page 13)</w:t>
      </w:r>
    </w:p>
    <w:p>
      <w:pPr>
        <w:pStyle w:val="Heading1"/>
      </w:pPr>
      <w:r>
        <w:t>5. Mongoose Schema Definitions</w:t>
      </w:r>
    </w:p>
    <w:p>
      <w:pPr>
        <w:spacing w:after="120"/>
      </w:pPr>
      <w:r>
        <w:t>The source document defines Mongoose schemas for the principal database entities used by the backend. These schemas provide the data structure and validation model for information stored in MongoDB.</w:t>
      </w:r>
    </w:p>
    <w:p>
      <w:pPr>
        <w:pStyle w:val="Heading2"/>
      </w:pPr>
      <w:r>
        <w:t>5.1 User Schema — models/User.js</w:t>
      </w:r>
    </w:p>
    <w:p>
      <w:pPr>
        <w:spacing w:after="120"/>
      </w:pPr>
      <w:r>
        <w:t>The User schema stores authentication and profile information for registered users. It includes fields such as name, email, password, and role. Passwords are securely encrypted before being stored in the database.</w:t>
      </w:r>
    </w:p>
    <w:p>
      <w:pPr>
        <w:jc w:val="center"/>
      </w:pPr>
      <w:r>
        <w:drawing>
          <wp:inline xmlns:a="http://schemas.openxmlformats.org/drawingml/2006/main" xmlns:pic="http://schemas.openxmlformats.org/drawingml/2006/picture">
            <wp:extent cx="5897880" cy="3727132"/>
            <wp:docPr id="2" name="Picture 2"/>
            <wp:cNvGraphicFramePr>
              <a:graphicFrameLocks noChangeAspect="1"/>
            </wp:cNvGraphicFramePr>
            <a:graphic>
              <a:graphicData uri="http://schemas.openxmlformats.org/drawingml/2006/picture">
                <pic:pic>
                  <pic:nvPicPr>
                    <pic:cNvPr id="0" name="img_14.png"/>
                    <pic:cNvPicPr/>
                  </pic:nvPicPr>
                  <pic:blipFill>
                    <a:blip r:embed="rId12"/>
                    <a:stretch>
                      <a:fillRect/>
                    </a:stretch>
                  </pic:blipFill>
                  <pic:spPr>
                    <a:xfrm>
                      <a:off x="0" y="0"/>
                      <a:ext cx="5897880" cy="3727132"/>
                    </a:xfrm>
                    <a:prstGeom prst="rect"/>
                  </pic:spPr>
                </pic:pic>
              </a:graphicData>
            </a:graphic>
          </wp:inline>
        </w:drawing>
      </w:r>
    </w:p>
    <w:p>
      <w:pPr>
        <w:jc w:val="center"/>
      </w:pPr>
      <w:r>
        <w:rPr>
          <w:i/>
          <w:sz w:val="17"/>
        </w:rPr>
        <w:t>Figure 5.1 — User schema implementation shown in the supplied document (page 16)</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9"/>
              </w:rPr>
              <w:t>Field</w:t>
            </w:r>
          </w:p>
        </w:tc>
        <w:tc>
          <w:tcPr>
            <w:tcW w:type="dxa" w:w="3360"/>
            <w:vAlign w:val="center"/>
            <w:shd w:fill="D9EAF7"/>
          </w:tcPr>
          <w:p>
            <w:r/>
            <w:r>
              <w:rPr>
                <w:rFonts w:ascii="Aptos" w:hAnsi="Aptos"/>
                <w:b/>
                <w:sz w:val="19"/>
              </w:rPr>
              <w:t>Documented Type / Rule</w:t>
            </w:r>
          </w:p>
        </w:tc>
        <w:tc>
          <w:tcPr>
            <w:tcW w:type="dxa" w:w="3360"/>
            <w:vAlign w:val="center"/>
            <w:shd w:fill="D9EAF7"/>
          </w:tcPr>
          <w:p>
            <w:r/>
            <w:r>
              <w:rPr>
                <w:rFonts w:ascii="Aptos" w:hAnsi="Aptos"/>
                <w:b/>
                <w:sz w:val="19"/>
              </w:rPr>
              <w:t>Purpose</w:t>
            </w:r>
          </w:p>
        </w:tc>
      </w:tr>
      <w:tr>
        <w:tc>
          <w:tcPr>
            <w:tcW w:type="dxa" w:w="3360"/>
            <w:vAlign w:val="center"/>
          </w:tcPr>
          <w:p>
            <w:r/>
            <w:r>
              <w:rPr>
                <w:rFonts w:ascii="Aptos" w:hAnsi="Aptos"/>
                <w:b/>
                <w:sz w:val="19"/>
              </w:rPr>
              <w:t>name</w:t>
            </w:r>
          </w:p>
        </w:tc>
        <w:tc>
          <w:tcPr>
            <w:tcW w:type="dxa" w:w="3360"/>
            <w:vAlign w:val="center"/>
          </w:tcPr>
          <w:p>
            <w:r/>
            <w:r>
              <w:rPr>
                <w:rFonts w:ascii="Aptos" w:hAnsi="Aptos"/>
                <w:b w:val="0"/>
                <w:sz w:val="19"/>
              </w:rPr>
              <w:t>String; required; trim</w:t>
            </w:r>
          </w:p>
        </w:tc>
        <w:tc>
          <w:tcPr>
            <w:tcW w:type="dxa" w:w="3360"/>
            <w:vAlign w:val="center"/>
          </w:tcPr>
          <w:p>
            <w:r/>
            <w:r>
              <w:rPr>
                <w:rFonts w:ascii="Aptos" w:hAnsi="Aptos"/>
                <w:b w:val="0"/>
                <w:sz w:val="19"/>
              </w:rPr>
              <w:t>User name.</w:t>
            </w:r>
          </w:p>
        </w:tc>
      </w:tr>
      <w:tr>
        <w:tc>
          <w:tcPr>
            <w:tcW w:type="dxa" w:w="3360"/>
            <w:vAlign w:val="center"/>
          </w:tcPr>
          <w:p>
            <w:r/>
            <w:r>
              <w:rPr>
                <w:rFonts w:ascii="Aptos" w:hAnsi="Aptos"/>
                <w:b/>
                <w:sz w:val="19"/>
              </w:rPr>
              <w:t>email</w:t>
            </w:r>
          </w:p>
        </w:tc>
        <w:tc>
          <w:tcPr>
            <w:tcW w:type="dxa" w:w="3360"/>
            <w:vAlign w:val="center"/>
          </w:tcPr>
          <w:p>
            <w:r/>
            <w:r>
              <w:rPr>
                <w:rFonts w:ascii="Aptos" w:hAnsi="Aptos"/>
                <w:b w:val="0"/>
                <w:sz w:val="19"/>
              </w:rPr>
              <w:t>String; required; unique; lowercase</w:t>
            </w:r>
          </w:p>
        </w:tc>
        <w:tc>
          <w:tcPr>
            <w:tcW w:type="dxa" w:w="3360"/>
            <w:vAlign w:val="center"/>
          </w:tcPr>
          <w:p>
            <w:r/>
            <w:r>
              <w:rPr>
                <w:rFonts w:ascii="Aptos" w:hAnsi="Aptos"/>
                <w:b w:val="0"/>
                <w:sz w:val="19"/>
              </w:rPr>
              <w:t>Unique user email address.</w:t>
            </w:r>
          </w:p>
        </w:tc>
      </w:tr>
      <w:tr>
        <w:tc>
          <w:tcPr>
            <w:tcW w:type="dxa" w:w="3360"/>
            <w:vAlign w:val="center"/>
          </w:tcPr>
          <w:p>
            <w:r/>
            <w:r>
              <w:rPr>
                <w:rFonts w:ascii="Aptos" w:hAnsi="Aptos"/>
                <w:b/>
                <w:sz w:val="19"/>
              </w:rPr>
              <w:t>password</w:t>
            </w:r>
          </w:p>
        </w:tc>
        <w:tc>
          <w:tcPr>
            <w:tcW w:type="dxa" w:w="3360"/>
            <w:vAlign w:val="center"/>
          </w:tcPr>
          <w:p>
            <w:r/>
            <w:r>
              <w:rPr>
                <w:rFonts w:ascii="Aptos" w:hAnsi="Aptos"/>
                <w:b w:val="0"/>
                <w:sz w:val="19"/>
              </w:rPr>
              <w:t>String; required</w:t>
            </w:r>
          </w:p>
        </w:tc>
        <w:tc>
          <w:tcPr>
            <w:tcW w:type="dxa" w:w="3360"/>
            <w:vAlign w:val="center"/>
          </w:tcPr>
          <w:p>
            <w:r/>
            <w:r>
              <w:rPr>
                <w:rFonts w:ascii="Aptos" w:hAnsi="Aptos"/>
                <w:b w:val="0"/>
                <w:sz w:val="19"/>
              </w:rPr>
              <w:t>Stored password after hashing.</w:t>
            </w:r>
          </w:p>
        </w:tc>
      </w:tr>
      <w:tr>
        <w:tc>
          <w:tcPr>
            <w:tcW w:type="dxa" w:w="3360"/>
            <w:vAlign w:val="center"/>
          </w:tcPr>
          <w:p>
            <w:r/>
            <w:r>
              <w:rPr>
                <w:rFonts w:ascii="Aptos" w:hAnsi="Aptos"/>
                <w:b/>
                <w:sz w:val="19"/>
              </w:rPr>
              <w:t>role</w:t>
            </w:r>
          </w:p>
        </w:tc>
        <w:tc>
          <w:tcPr>
            <w:tcW w:type="dxa" w:w="3360"/>
            <w:vAlign w:val="center"/>
          </w:tcPr>
          <w:p>
            <w:r/>
            <w:r>
              <w:rPr>
                <w:rFonts w:ascii="Aptos" w:hAnsi="Aptos"/>
                <w:b w:val="0"/>
                <w:sz w:val="19"/>
              </w:rPr>
              <w:t>String; enum student/admin; default student</w:t>
            </w:r>
          </w:p>
        </w:tc>
        <w:tc>
          <w:tcPr>
            <w:tcW w:type="dxa" w:w="3360"/>
            <w:vAlign w:val="center"/>
          </w:tcPr>
          <w:p>
            <w:r/>
            <w:r>
              <w:rPr>
                <w:rFonts w:ascii="Aptos" w:hAnsi="Aptos"/>
                <w:b w:val="0"/>
                <w:sz w:val="19"/>
              </w:rPr>
              <w:t>Defines the user's application role.</w:t>
            </w:r>
          </w:p>
        </w:tc>
      </w:tr>
      <w:tr>
        <w:tc>
          <w:tcPr>
            <w:tcW w:type="dxa" w:w="3360"/>
            <w:vAlign w:val="center"/>
          </w:tcPr>
          <w:p>
            <w:r/>
            <w:r>
              <w:rPr>
                <w:rFonts w:ascii="Aptos" w:hAnsi="Aptos"/>
                <w:b/>
                <w:sz w:val="19"/>
              </w:rPr>
              <w:t>timestamps</w:t>
            </w:r>
          </w:p>
        </w:tc>
        <w:tc>
          <w:tcPr>
            <w:tcW w:type="dxa" w:w="3360"/>
            <w:vAlign w:val="center"/>
          </w:tcPr>
          <w:p>
            <w:r/>
            <w:r>
              <w:rPr>
                <w:rFonts w:ascii="Aptos" w:hAnsi="Aptos"/>
                <w:b w:val="0"/>
                <w:sz w:val="19"/>
              </w:rPr>
              <w:t>Enabled</w:t>
            </w:r>
          </w:p>
        </w:tc>
        <w:tc>
          <w:tcPr>
            <w:tcW w:type="dxa" w:w="3360"/>
            <w:vAlign w:val="center"/>
          </w:tcPr>
          <w:p>
            <w:r/>
            <w:r>
              <w:rPr>
                <w:rFonts w:ascii="Aptos" w:hAnsi="Aptos"/>
                <w:b w:val="0"/>
                <w:sz w:val="19"/>
              </w:rPr>
              <w:t>Provides created/updated timestamp information.</w:t>
            </w:r>
          </w:p>
        </w:tc>
      </w:tr>
    </w:tbl>
    <w:p>
      <w:pPr>
        <w:pStyle w:val="Heading2"/>
      </w:pPr>
      <w:r>
        <w:t>5.2 Password Security in the User Model</w:t>
      </w:r>
    </w:p>
    <w:p>
      <w:pPr>
        <w:spacing w:after="120"/>
      </w:pPr>
      <w:r>
        <w:t>The supplied User model includes a pre-save operation that hashes a password with bcrypt when the password has been modified. The model also defines a password-matching method using bcrypt comparison.</w:t>
      </w:r>
    </w:p>
    <w:p>
      <w:pPr>
        <w:spacing w:after="120"/>
      </w:pPr>
      <w:r>
        <w:t>This model-level approach ensures that the stored credential is not kept as the original plain-text password.</w:t>
      </w:r>
    </w:p>
    <w:p>
      <w:pPr>
        <w:pStyle w:val="Heading2"/>
      </w:pPr>
      <w:r>
        <w:t>5.3 Study Material Schema — models/Material.js</w:t>
      </w:r>
    </w:p>
    <w:p>
      <w:pPr>
        <w:spacing w:after="120"/>
      </w:pPr>
      <w:r>
        <w:t>The Study Material schema stores the learning content uploaded by users. This content acts as the input for AI-powered features such as summaries, quizzes, flashcards, and study plans.</w:t>
      </w:r>
    </w:p>
    <w:p>
      <w:pPr>
        <w:jc w:val="center"/>
      </w:pPr>
      <w:r>
        <w:drawing>
          <wp:inline xmlns:a="http://schemas.openxmlformats.org/drawingml/2006/main" xmlns:pic="http://schemas.openxmlformats.org/drawingml/2006/picture">
            <wp:extent cx="5897880" cy="3727132"/>
            <wp:docPr id="3" name="Picture 3"/>
            <wp:cNvGraphicFramePr>
              <a:graphicFrameLocks noChangeAspect="1"/>
            </wp:cNvGraphicFramePr>
            <a:graphic>
              <a:graphicData uri="http://schemas.openxmlformats.org/drawingml/2006/picture">
                <pic:pic>
                  <pic:nvPicPr>
                    <pic:cNvPr id="0" name="img_16.png"/>
                    <pic:cNvPicPr/>
                  </pic:nvPicPr>
                  <pic:blipFill>
                    <a:blip r:embed="rId13"/>
                    <a:stretch>
                      <a:fillRect/>
                    </a:stretch>
                  </pic:blipFill>
                  <pic:spPr>
                    <a:xfrm>
                      <a:off x="0" y="0"/>
                      <a:ext cx="5897880" cy="3727132"/>
                    </a:xfrm>
                    <a:prstGeom prst="rect"/>
                  </pic:spPr>
                </pic:pic>
              </a:graphicData>
            </a:graphic>
          </wp:inline>
        </w:drawing>
      </w:r>
    </w:p>
    <w:p>
      <w:pPr>
        <w:jc w:val="center"/>
      </w:pPr>
      <w:r>
        <w:rPr>
          <w:i/>
          <w:sz w:val="17"/>
        </w:rPr>
        <w:t>Figure 5.2 — Study Material schema implementation shown in the supplied document (page 17)</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9"/>
              </w:rPr>
              <w:t>Field</w:t>
            </w:r>
          </w:p>
        </w:tc>
        <w:tc>
          <w:tcPr>
            <w:tcW w:type="dxa" w:w="3360"/>
            <w:vAlign w:val="center"/>
            <w:shd w:fill="D9EAF7"/>
          </w:tcPr>
          <w:p>
            <w:r/>
            <w:r>
              <w:rPr>
                <w:rFonts w:ascii="Aptos" w:hAnsi="Aptos"/>
                <w:b/>
                <w:sz w:val="19"/>
              </w:rPr>
              <w:t>Documented Type / Rule</w:t>
            </w:r>
          </w:p>
        </w:tc>
        <w:tc>
          <w:tcPr>
            <w:tcW w:type="dxa" w:w="3360"/>
            <w:vAlign w:val="center"/>
            <w:shd w:fill="D9EAF7"/>
          </w:tcPr>
          <w:p>
            <w:r/>
            <w:r>
              <w:rPr>
                <w:rFonts w:ascii="Aptos" w:hAnsi="Aptos"/>
                <w:b/>
                <w:sz w:val="19"/>
              </w:rPr>
              <w:t>Purpose</w:t>
            </w:r>
          </w:p>
        </w:tc>
      </w:tr>
      <w:tr>
        <w:tc>
          <w:tcPr>
            <w:tcW w:type="dxa" w:w="3360"/>
            <w:vAlign w:val="center"/>
          </w:tcPr>
          <w:p>
            <w:r/>
            <w:r>
              <w:rPr>
                <w:rFonts w:ascii="Aptos" w:hAnsi="Aptos"/>
                <w:b/>
                <w:sz w:val="19"/>
              </w:rPr>
              <w:t>user</w:t>
            </w:r>
          </w:p>
        </w:tc>
        <w:tc>
          <w:tcPr>
            <w:tcW w:type="dxa" w:w="3360"/>
            <w:vAlign w:val="center"/>
          </w:tcPr>
          <w:p>
            <w:r/>
            <w:r>
              <w:rPr>
                <w:rFonts w:ascii="Aptos" w:hAnsi="Aptos"/>
                <w:b w:val="0"/>
                <w:sz w:val="19"/>
              </w:rPr>
              <w:t>ObjectId; ref User; required</w:t>
            </w:r>
          </w:p>
        </w:tc>
        <w:tc>
          <w:tcPr>
            <w:tcW w:type="dxa" w:w="3360"/>
            <w:vAlign w:val="center"/>
          </w:tcPr>
          <w:p>
            <w:r/>
            <w:r>
              <w:rPr>
                <w:rFonts w:ascii="Aptos" w:hAnsi="Aptos"/>
                <w:b w:val="0"/>
                <w:sz w:val="19"/>
              </w:rPr>
              <w:t>Associates material with its user.</w:t>
            </w:r>
          </w:p>
        </w:tc>
      </w:tr>
      <w:tr>
        <w:tc>
          <w:tcPr>
            <w:tcW w:type="dxa" w:w="3360"/>
            <w:vAlign w:val="center"/>
          </w:tcPr>
          <w:p>
            <w:r/>
            <w:r>
              <w:rPr>
                <w:rFonts w:ascii="Aptos" w:hAnsi="Aptos"/>
                <w:b/>
                <w:sz w:val="19"/>
              </w:rPr>
              <w:t>title</w:t>
            </w:r>
          </w:p>
        </w:tc>
        <w:tc>
          <w:tcPr>
            <w:tcW w:type="dxa" w:w="3360"/>
            <w:vAlign w:val="center"/>
          </w:tcPr>
          <w:p>
            <w:r/>
            <w:r>
              <w:rPr>
                <w:rFonts w:ascii="Aptos" w:hAnsi="Aptos"/>
                <w:b w:val="0"/>
                <w:sz w:val="19"/>
              </w:rPr>
              <w:t>String; required</w:t>
            </w:r>
          </w:p>
        </w:tc>
        <w:tc>
          <w:tcPr>
            <w:tcW w:type="dxa" w:w="3360"/>
            <w:vAlign w:val="center"/>
          </w:tcPr>
          <w:p>
            <w:r/>
            <w:r>
              <w:rPr>
                <w:rFonts w:ascii="Aptos" w:hAnsi="Aptos"/>
                <w:b w:val="0"/>
                <w:sz w:val="19"/>
              </w:rPr>
              <w:t>Title of the study material.</w:t>
            </w:r>
          </w:p>
        </w:tc>
      </w:tr>
      <w:tr>
        <w:tc>
          <w:tcPr>
            <w:tcW w:type="dxa" w:w="3360"/>
            <w:vAlign w:val="center"/>
          </w:tcPr>
          <w:p>
            <w:r/>
            <w:r>
              <w:rPr>
                <w:rFonts w:ascii="Aptos" w:hAnsi="Aptos"/>
                <w:b/>
                <w:sz w:val="19"/>
              </w:rPr>
              <w:t>content</w:t>
            </w:r>
          </w:p>
        </w:tc>
        <w:tc>
          <w:tcPr>
            <w:tcW w:type="dxa" w:w="3360"/>
            <w:vAlign w:val="center"/>
          </w:tcPr>
          <w:p>
            <w:r/>
            <w:r>
              <w:rPr>
                <w:rFonts w:ascii="Aptos" w:hAnsi="Aptos"/>
                <w:b w:val="0"/>
                <w:sz w:val="19"/>
              </w:rPr>
              <w:t>String; required</w:t>
            </w:r>
          </w:p>
        </w:tc>
        <w:tc>
          <w:tcPr>
            <w:tcW w:type="dxa" w:w="3360"/>
            <w:vAlign w:val="center"/>
          </w:tcPr>
          <w:p>
            <w:r/>
            <w:r>
              <w:rPr>
                <w:rFonts w:ascii="Aptos" w:hAnsi="Aptos"/>
                <w:b w:val="0"/>
                <w:sz w:val="19"/>
              </w:rPr>
              <w:t>Raw study content used for processing.</w:t>
            </w:r>
          </w:p>
        </w:tc>
      </w:tr>
      <w:tr>
        <w:tc>
          <w:tcPr>
            <w:tcW w:type="dxa" w:w="3360"/>
            <w:vAlign w:val="center"/>
          </w:tcPr>
          <w:p>
            <w:r/>
            <w:r>
              <w:rPr>
                <w:rFonts w:ascii="Aptos" w:hAnsi="Aptos"/>
                <w:b/>
                <w:sz w:val="19"/>
              </w:rPr>
              <w:t>filename</w:t>
            </w:r>
          </w:p>
        </w:tc>
        <w:tc>
          <w:tcPr>
            <w:tcW w:type="dxa" w:w="3360"/>
            <w:vAlign w:val="center"/>
          </w:tcPr>
          <w:p>
            <w:r/>
            <w:r>
              <w:rPr>
                <w:rFonts w:ascii="Aptos" w:hAnsi="Aptos"/>
                <w:b w:val="0"/>
                <w:sz w:val="19"/>
              </w:rPr>
              <w:t>String</w:t>
            </w:r>
          </w:p>
        </w:tc>
        <w:tc>
          <w:tcPr>
            <w:tcW w:type="dxa" w:w="3360"/>
            <w:vAlign w:val="center"/>
          </w:tcPr>
          <w:p>
            <w:r/>
            <w:r>
              <w:rPr>
                <w:rFonts w:ascii="Aptos" w:hAnsi="Aptos"/>
                <w:b w:val="0"/>
                <w:sz w:val="19"/>
              </w:rPr>
              <w:t>Original uploaded file name.</w:t>
            </w:r>
          </w:p>
        </w:tc>
      </w:tr>
      <w:tr>
        <w:tc>
          <w:tcPr>
            <w:tcW w:type="dxa" w:w="3360"/>
            <w:vAlign w:val="center"/>
          </w:tcPr>
          <w:p>
            <w:r/>
            <w:r>
              <w:rPr>
                <w:rFonts w:ascii="Aptos" w:hAnsi="Aptos"/>
                <w:b/>
                <w:sz w:val="19"/>
              </w:rPr>
              <w:t>summary</w:t>
            </w:r>
          </w:p>
        </w:tc>
        <w:tc>
          <w:tcPr>
            <w:tcW w:type="dxa" w:w="3360"/>
            <w:vAlign w:val="center"/>
          </w:tcPr>
          <w:p>
            <w:r/>
            <w:r>
              <w:rPr>
                <w:rFonts w:ascii="Aptos" w:hAnsi="Aptos"/>
                <w:b w:val="0"/>
                <w:sz w:val="19"/>
              </w:rPr>
              <w:t>String</w:t>
            </w:r>
          </w:p>
        </w:tc>
        <w:tc>
          <w:tcPr>
            <w:tcW w:type="dxa" w:w="3360"/>
            <w:vAlign w:val="center"/>
          </w:tcPr>
          <w:p>
            <w:r/>
            <w:r>
              <w:rPr>
                <w:rFonts w:ascii="Aptos" w:hAnsi="Aptos"/>
                <w:b w:val="0"/>
                <w:sz w:val="19"/>
              </w:rPr>
              <w:t>Generated summary associated with the material.</w:t>
            </w:r>
          </w:p>
        </w:tc>
      </w:tr>
      <w:tr>
        <w:tc>
          <w:tcPr>
            <w:tcW w:type="dxa" w:w="3360"/>
            <w:vAlign w:val="center"/>
          </w:tcPr>
          <w:p>
            <w:r/>
            <w:r>
              <w:rPr>
                <w:rFonts w:ascii="Aptos" w:hAnsi="Aptos"/>
                <w:b/>
                <w:sz w:val="19"/>
              </w:rPr>
              <w:t>flashcards</w:t>
            </w:r>
          </w:p>
        </w:tc>
        <w:tc>
          <w:tcPr>
            <w:tcW w:type="dxa" w:w="3360"/>
            <w:vAlign w:val="center"/>
          </w:tcPr>
          <w:p>
            <w:r/>
            <w:r>
              <w:rPr>
                <w:rFonts w:ascii="Aptos" w:hAnsi="Aptos"/>
                <w:b w:val="0"/>
                <w:sz w:val="19"/>
              </w:rPr>
              <w:t>Array of question/answer objects</w:t>
            </w:r>
          </w:p>
        </w:tc>
        <w:tc>
          <w:tcPr>
            <w:tcW w:type="dxa" w:w="3360"/>
            <w:vAlign w:val="center"/>
          </w:tcPr>
          <w:p>
            <w:r/>
            <w:r>
              <w:rPr>
                <w:rFonts w:ascii="Aptos" w:hAnsi="Aptos"/>
                <w:b w:val="0"/>
                <w:sz w:val="19"/>
              </w:rPr>
              <w:t>Stores generated flashcard pairs.</w:t>
            </w:r>
          </w:p>
        </w:tc>
      </w:tr>
      <w:tr>
        <w:tc>
          <w:tcPr>
            <w:tcW w:type="dxa" w:w="3360"/>
            <w:vAlign w:val="center"/>
          </w:tcPr>
          <w:p>
            <w:r/>
            <w:r>
              <w:rPr>
                <w:rFonts w:ascii="Aptos" w:hAnsi="Aptos"/>
                <w:b/>
                <w:sz w:val="19"/>
              </w:rPr>
              <w:t>quiz</w:t>
            </w:r>
          </w:p>
        </w:tc>
        <w:tc>
          <w:tcPr>
            <w:tcW w:type="dxa" w:w="3360"/>
            <w:vAlign w:val="center"/>
          </w:tcPr>
          <w:p>
            <w:r/>
            <w:r>
              <w:rPr>
                <w:rFonts w:ascii="Aptos" w:hAnsi="Aptos"/>
                <w:b w:val="0"/>
                <w:sz w:val="19"/>
              </w:rPr>
              <w:t>Array of question/options/answer objects</w:t>
            </w:r>
          </w:p>
        </w:tc>
        <w:tc>
          <w:tcPr>
            <w:tcW w:type="dxa" w:w="3360"/>
            <w:vAlign w:val="center"/>
          </w:tcPr>
          <w:p>
            <w:r/>
            <w:r>
              <w:rPr>
                <w:rFonts w:ascii="Aptos" w:hAnsi="Aptos"/>
                <w:b w:val="0"/>
                <w:sz w:val="19"/>
              </w:rPr>
              <w:t>Stores generated quiz questions.</w:t>
            </w:r>
          </w:p>
        </w:tc>
      </w:tr>
      <w:tr>
        <w:tc>
          <w:tcPr>
            <w:tcW w:type="dxa" w:w="3360"/>
            <w:vAlign w:val="center"/>
          </w:tcPr>
          <w:p>
            <w:r/>
            <w:r>
              <w:rPr>
                <w:rFonts w:ascii="Aptos" w:hAnsi="Aptos"/>
                <w:b/>
                <w:sz w:val="19"/>
              </w:rPr>
              <w:t>studyPlan</w:t>
            </w:r>
          </w:p>
        </w:tc>
        <w:tc>
          <w:tcPr>
            <w:tcW w:type="dxa" w:w="3360"/>
            <w:vAlign w:val="center"/>
          </w:tcPr>
          <w:p>
            <w:r/>
            <w:r>
              <w:rPr>
                <w:rFonts w:ascii="Aptos" w:hAnsi="Aptos"/>
                <w:b w:val="0"/>
                <w:sz w:val="19"/>
              </w:rPr>
              <w:t>String</w:t>
            </w:r>
          </w:p>
        </w:tc>
        <w:tc>
          <w:tcPr>
            <w:tcW w:type="dxa" w:w="3360"/>
            <w:vAlign w:val="center"/>
          </w:tcPr>
          <w:p>
            <w:r/>
            <w:r>
              <w:rPr>
                <w:rFonts w:ascii="Aptos" w:hAnsi="Aptos"/>
                <w:b w:val="0"/>
                <w:sz w:val="19"/>
              </w:rPr>
              <w:t>Stores the generated study plan.</w:t>
            </w:r>
          </w:p>
        </w:tc>
      </w:tr>
      <w:tr>
        <w:tc>
          <w:tcPr>
            <w:tcW w:type="dxa" w:w="3360"/>
            <w:vAlign w:val="center"/>
          </w:tcPr>
          <w:p>
            <w:r/>
            <w:r>
              <w:rPr>
                <w:rFonts w:ascii="Aptos" w:hAnsi="Aptos"/>
                <w:b/>
                <w:sz w:val="19"/>
              </w:rPr>
              <w:t>timestamps</w:t>
            </w:r>
          </w:p>
        </w:tc>
        <w:tc>
          <w:tcPr>
            <w:tcW w:type="dxa" w:w="3360"/>
            <w:vAlign w:val="center"/>
          </w:tcPr>
          <w:p>
            <w:r/>
            <w:r>
              <w:rPr>
                <w:rFonts w:ascii="Aptos" w:hAnsi="Aptos"/>
                <w:b w:val="0"/>
                <w:sz w:val="19"/>
              </w:rPr>
              <w:t>Enabled</w:t>
            </w:r>
          </w:p>
        </w:tc>
        <w:tc>
          <w:tcPr>
            <w:tcW w:type="dxa" w:w="3360"/>
            <w:vAlign w:val="center"/>
          </w:tcPr>
          <w:p>
            <w:r/>
            <w:r>
              <w:rPr>
                <w:rFonts w:ascii="Aptos" w:hAnsi="Aptos"/>
                <w:b w:val="0"/>
                <w:sz w:val="19"/>
              </w:rPr>
              <w:t>Provides timestamp information.</w:t>
            </w:r>
          </w:p>
        </w:tc>
      </w:tr>
    </w:tbl>
    <w:p>
      <w:pPr>
        <w:pStyle w:val="Heading1"/>
      </w:pPr>
      <w:r>
        <w:t>6. Database Collections</w:t>
      </w:r>
    </w:p>
    <w:p>
      <w:pPr>
        <w:spacing w:after="120"/>
      </w:pPr>
      <w:r>
        <w:t>The source document explicitly identifies the following MongoDB collections:</w:t>
      </w:r>
    </w:p>
    <w:p>
      <w:pPr>
        <w:pStyle w:val="ListBullet"/>
        <w:spacing w:after="60"/>
      </w:pPr>
      <w:r>
        <w:t>Users — stores user account and authentication details.</w:t>
      </w:r>
    </w:p>
    <w:p>
      <w:pPr>
        <w:pStyle w:val="ListBullet"/>
        <w:spacing w:after="60"/>
      </w:pPr>
      <w:r>
        <w:t>Study Materials — stores uploaded learning materials.</w:t>
      </w:r>
    </w:p>
    <w:p>
      <w:pPr>
        <w:spacing w:after="120"/>
      </w:pPr>
      <w:r>
        <w:t>The broader data design described earlier in the supplied document also identifies AI-generated resources such as summaries, flashcards, quizzes, and study plans as project entities associated with users and study materials.</w:t>
      </w:r>
    </w:p>
    <w:p>
      <w:pPr>
        <w:pStyle w:val="Heading1"/>
      </w:pPr>
      <w:r>
        <w:t>7. API Route Interface Endpoints</w:t>
      </w:r>
    </w:p>
    <w:p>
      <w:pPr>
        <w:spacing w:after="120"/>
      </w:pPr>
      <w:r>
        <w:t>The backend exposes RESTful APIs to interact with the database and AI services. The source document groups these endpoints into authentication, study-material, AI-feature, and administrative APIs.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9"/>
              </w:rPr>
              <w:t>API Group</w:t>
            </w:r>
          </w:p>
        </w:tc>
        <w:tc>
          <w:tcPr>
            <w:tcW w:type="dxa" w:w="3360"/>
            <w:vAlign w:val="center"/>
            <w:shd w:fill="D9EAF7"/>
          </w:tcPr>
          <w:p>
            <w:r/>
            <w:r>
              <w:rPr>
                <w:rFonts w:ascii="Aptos" w:hAnsi="Aptos"/>
                <w:b/>
                <w:sz w:val="19"/>
              </w:rPr>
              <w:t>Purpose</w:t>
            </w:r>
          </w:p>
        </w:tc>
        <w:tc>
          <w:tcPr>
            <w:tcW w:type="dxa" w:w="3360"/>
            <w:vAlign w:val="center"/>
            <w:shd w:fill="D9EAF7"/>
          </w:tcPr>
          <w:p>
            <w:r/>
            <w:r>
              <w:rPr>
                <w:rFonts w:ascii="Aptos" w:hAnsi="Aptos"/>
                <w:b/>
                <w:sz w:val="19"/>
              </w:rPr>
              <w:t>Documented Operations</w:t>
            </w:r>
          </w:p>
        </w:tc>
      </w:tr>
      <w:tr>
        <w:tc>
          <w:tcPr>
            <w:tcW w:type="dxa" w:w="3360"/>
            <w:vAlign w:val="center"/>
          </w:tcPr>
          <w:p>
            <w:r/>
            <w:r>
              <w:rPr>
                <w:rFonts w:ascii="Aptos" w:hAnsi="Aptos"/>
                <w:b/>
                <w:sz w:val="19"/>
              </w:rPr>
              <w:t>Authentication APIs</w:t>
            </w:r>
          </w:p>
        </w:tc>
        <w:tc>
          <w:tcPr>
            <w:tcW w:type="dxa" w:w="3360"/>
            <w:vAlign w:val="center"/>
          </w:tcPr>
          <w:p>
            <w:r/>
            <w:r>
              <w:rPr>
                <w:rFonts w:ascii="Aptos" w:hAnsi="Aptos"/>
                <w:b w:val="0"/>
                <w:sz w:val="19"/>
              </w:rPr>
              <w:t>Handles user registration, login, JWT authentication, and protected route access.</w:t>
            </w:r>
          </w:p>
        </w:tc>
        <w:tc>
          <w:tcPr>
            <w:tcW w:type="dxa" w:w="3360"/>
            <w:vAlign w:val="center"/>
          </w:tcPr>
          <w:p>
            <w:r/>
            <w:r>
              <w:rPr>
                <w:rFonts w:ascii="Aptos" w:hAnsi="Aptos"/>
                <w:b w:val="0"/>
                <w:sz w:val="19"/>
              </w:rPr>
              <w:t>Registration, login, token-protected access.</w:t>
            </w:r>
          </w:p>
        </w:tc>
      </w:tr>
      <w:tr>
        <w:tc>
          <w:tcPr>
            <w:tcW w:type="dxa" w:w="3360"/>
            <w:vAlign w:val="center"/>
          </w:tcPr>
          <w:p>
            <w:r/>
            <w:r>
              <w:rPr>
                <w:rFonts w:ascii="Aptos" w:hAnsi="Aptos"/>
                <w:b/>
                <w:sz w:val="19"/>
              </w:rPr>
              <w:t>Study Material APIs</w:t>
            </w:r>
          </w:p>
        </w:tc>
        <w:tc>
          <w:tcPr>
            <w:tcW w:type="dxa" w:w="3360"/>
            <w:vAlign w:val="center"/>
          </w:tcPr>
          <w:p>
            <w:r/>
            <w:r>
              <w:rPr>
                <w:rFonts w:ascii="Aptos" w:hAnsi="Aptos"/>
                <w:b w:val="0"/>
                <w:sz w:val="19"/>
              </w:rPr>
              <w:t>Allows users to upload, retrieve, update, and manage study materials.</w:t>
            </w:r>
          </w:p>
        </w:tc>
        <w:tc>
          <w:tcPr>
            <w:tcW w:type="dxa" w:w="3360"/>
            <w:vAlign w:val="center"/>
          </w:tcPr>
          <w:p>
            <w:r/>
            <w:r>
              <w:rPr>
                <w:rFonts w:ascii="Aptos" w:hAnsi="Aptos"/>
                <w:b w:val="0"/>
                <w:sz w:val="19"/>
              </w:rPr>
              <w:t>Material upload and management.</w:t>
            </w:r>
          </w:p>
        </w:tc>
      </w:tr>
      <w:tr>
        <w:tc>
          <w:tcPr>
            <w:tcW w:type="dxa" w:w="3360"/>
            <w:vAlign w:val="center"/>
          </w:tcPr>
          <w:p>
            <w:r/>
            <w:r>
              <w:rPr>
                <w:rFonts w:ascii="Aptos" w:hAnsi="Aptos"/>
                <w:b/>
                <w:sz w:val="19"/>
              </w:rPr>
              <w:t>AI Feature APIs</w:t>
            </w:r>
          </w:p>
        </w:tc>
        <w:tc>
          <w:tcPr>
            <w:tcW w:type="dxa" w:w="3360"/>
            <w:vAlign w:val="center"/>
          </w:tcPr>
          <w:p>
            <w:r/>
            <w:r>
              <w:rPr>
                <w:rFonts w:ascii="Aptos" w:hAnsi="Aptos"/>
                <w:b w:val="0"/>
                <w:sz w:val="19"/>
              </w:rPr>
              <w:t>Provides AI-powered learning-resource generation.</w:t>
            </w:r>
          </w:p>
        </w:tc>
        <w:tc>
          <w:tcPr>
            <w:tcW w:type="dxa" w:w="3360"/>
            <w:vAlign w:val="center"/>
          </w:tcPr>
          <w:p>
            <w:r/>
            <w:r>
              <w:rPr>
                <w:rFonts w:ascii="Aptos" w:hAnsi="Aptos"/>
                <w:b w:val="0"/>
                <w:sz w:val="19"/>
              </w:rPr>
              <w:t>Summary, flashcards, quiz, study plan.</w:t>
            </w:r>
          </w:p>
        </w:tc>
      </w:tr>
      <w:tr>
        <w:tc>
          <w:tcPr>
            <w:tcW w:type="dxa" w:w="3360"/>
            <w:vAlign w:val="center"/>
          </w:tcPr>
          <w:p>
            <w:r/>
            <w:r>
              <w:rPr>
                <w:rFonts w:ascii="Aptos" w:hAnsi="Aptos"/>
                <w:b/>
                <w:sz w:val="19"/>
              </w:rPr>
              <w:t>Administrative APIs</w:t>
            </w:r>
          </w:p>
        </w:tc>
        <w:tc>
          <w:tcPr>
            <w:tcW w:type="dxa" w:w="3360"/>
            <w:vAlign w:val="center"/>
          </w:tcPr>
          <w:p>
            <w:r/>
            <w:r>
              <w:rPr>
                <w:rFonts w:ascii="Aptos" w:hAnsi="Aptos"/>
                <w:b w:val="0"/>
                <w:sz w:val="19"/>
              </w:rPr>
              <w:t>Provides administrator-only functions.</w:t>
            </w:r>
          </w:p>
        </w:tc>
        <w:tc>
          <w:tcPr>
            <w:tcW w:type="dxa" w:w="3360"/>
            <w:vAlign w:val="center"/>
          </w:tcPr>
          <w:p>
            <w:r/>
            <w:r>
              <w:rPr>
                <w:rFonts w:ascii="Aptos" w:hAnsi="Aptos"/>
                <w:b w:val="0"/>
                <w:sz w:val="19"/>
              </w:rPr>
              <w:t>User management and system-activity monitoring.</w:t>
            </w:r>
          </w:p>
        </w:tc>
      </w:tr>
    </w:tbl>
    <w:p>
      <w:pPr>
        <w:pStyle w:val="Heading1"/>
      </w:pPr>
      <w:r>
        <w:t>8. Database Data Lifecycle</w:t>
      </w:r>
    </w:p>
    <w:p>
      <w:pPr>
        <w:pStyle w:val="ListBullet"/>
        <w:spacing w:after="60"/>
      </w:pPr>
      <w:r>
        <w:t>A user account is created and stored in the Users collection.</w:t>
      </w:r>
    </w:p>
    <w:p>
      <w:pPr>
        <w:pStyle w:val="ListBullet"/>
        <w:spacing w:after="60"/>
      </w:pPr>
      <w:r>
        <w:t>An authenticated user uploads study material.</w:t>
      </w:r>
    </w:p>
    <w:p>
      <w:pPr>
        <w:pStyle w:val="ListBullet"/>
        <w:spacing w:after="60"/>
      </w:pPr>
      <w:r>
        <w:t>The study material is stored and associated with the corresponding user.</w:t>
      </w:r>
    </w:p>
    <w:p>
      <w:pPr>
        <w:pStyle w:val="ListBullet"/>
        <w:spacing w:after="60"/>
      </w:pPr>
      <w:r>
        <w:t>AI services use the stored study content as input for resource generation.</w:t>
      </w:r>
    </w:p>
    <w:p>
      <w:pPr>
        <w:pStyle w:val="ListBullet"/>
        <w:spacing w:after="60"/>
      </w:pPr>
      <w:r>
        <w:t>Generated learning resources are associated with the user and/or study material according to the documented data design.</w:t>
      </w:r>
    </w:p>
    <w:p>
      <w:pPr>
        <w:pStyle w:val="ListBullet"/>
        <w:spacing w:after="60"/>
      </w:pPr>
      <w:r>
        <w:t>Stored resources can be retrieved for future reference and continued learning.</w:t>
      </w:r>
    </w:p>
    <w:p>
      <w:pPr>
        <w:pStyle w:val="Heading1"/>
      </w:pPr>
      <w:r>
        <w:t>9. Database Design Relationships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ptos" w:hAnsi="Aptos"/>
                <w:b/>
                <w:sz w:val="19"/>
              </w:rPr>
              <w:t>Parent</w:t>
            </w:r>
          </w:p>
        </w:tc>
        <w:tc>
          <w:tcPr>
            <w:tcW w:type="dxa" w:w="2520"/>
            <w:vAlign w:val="center"/>
            <w:shd w:fill="D9EAF7"/>
          </w:tcPr>
          <w:p>
            <w:r/>
            <w:r>
              <w:rPr>
                <w:rFonts w:ascii="Aptos" w:hAnsi="Aptos"/>
                <w:b/>
                <w:sz w:val="19"/>
              </w:rPr>
              <w:t>Related Entity</w:t>
            </w:r>
          </w:p>
        </w:tc>
        <w:tc>
          <w:tcPr>
            <w:tcW w:type="dxa" w:w="2520"/>
            <w:vAlign w:val="center"/>
            <w:shd w:fill="D9EAF7"/>
          </w:tcPr>
          <w:p>
            <w:r/>
            <w:r>
              <w:rPr>
                <w:rFonts w:ascii="Aptos" w:hAnsi="Aptos"/>
                <w:b/>
                <w:sz w:val="19"/>
              </w:rPr>
              <w:t>Cardinality</w:t>
            </w:r>
          </w:p>
        </w:tc>
        <w:tc>
          <w:tcPr>
            <w:tcW w:type="dxa" w:w="2520"/>
            <w:vAlign w:val="center"/>
            <w:shd w:fill="D9EAF7"/>
          </w:tcPr>
          <w:p>
            <w:r/>
            <w:r>
              <w:rPr>
                <w:rFonts w:ascii="Aptos" w:hAnsi="Aptos"/>
                <w:b/>
                <w:sz w:val="19"/>
              </w:rPr>
              <w:t>Documented Relationship</w:t>
            </w:r>
          </w:p>
        </w:tc>
      </w:tr>
      <w:tr>
        <w:tc>
          <w:tcPr>
            <w:tcW w:type="dxa" w:w="2520"/>
            <w:vAlign w:val="center"/>
          </w:tcPr>
          <w:p>
            <w:r/>
            <w:r>
              <w:rPr>
                <w:rFonts w:ascii="Aptos" w:hAnsi="Aptos"/>
                <w:b/>
                <w:sz w:val="19"/>
              </w:rPr>
              <w:t>User</w:t>
            </w:r>
          </w:p>
        </w:tc>
        <w:tc>
          <w:tcPr>
            <w:tcW w:type="dxa" w:w="2520"/>
            <w:vAlign w:val="center"/>
          </w:tcPr>
          <w:p>
            <w:r/>
            <w:r>
              <w:rPr>
                <w:rFonts w:ascii="Aptos" w:hAnsi="Aptos"/>
                <w:b/>
                <w:sz w:val="19"/>
              </w:rPr>
              <w:t>Study Material</w:t>
            </w:r>
          </w:p>
        </w:tc>
        <w:tc>
          <w:tcPr>
            <w:tcW w:type="dxa" w:w="2520"/>
            <w:vAlign w:val="center"/>
          </w:tcPr>
          <w:p>
            <w:r/>
            <w:r>
              <w:rPr>
                <w:rFonts w:ascii="Aptos" w:hAnsi="Aptos"/>
                <w:b w:val="0"/>
                <w:sz w:val="19"/>
              </w:rPr>
              <w:t>One-to-Many</w:t>
            </w:r>
          </w:p>
        </w:tc>
        <w:tc>
          <w:tcPr>
            <w:tcW w:type="dxa" w:w="2520"/>
            <w:vAlign w:val="center"/>
          </w:tcPr>
          <w:p>
            <w:r/>
            <w:r>
              <w:rPr>
                <w:rFonts w:ascii="Aptos" w:hAnsi="Aptos"/>
                <w:b w:val="0"/>
                <w:sz w:val="19"/>
              </w:rPr>
              <w:t>A user can upload multiple study materials.</w:t>
            </w:r>
          </w:p>
        </w:tc>
      </w:tr>
      <w:tr>
        <w:tc>
          <w:tcPr>
            <w:tcW w:type="dxa" w:w="2520"/>
            <w:vAlign w:val="center"/>
          </w:tcPr>
          <w:p>
            <w:r/>
            <w:r>
              <w:rPr>
                <w:rFonts w:ascii="Aptos" w:hAnsi="Aptos"/>
                <w:b/>
                <w:sz w:val="19"/>
              </w:rPr>
              <w:t>Study Material</w:t>
            </w:r>
          </w:p>
        </w:tc>
        <w:tc>
          <w:tcPr>
            <w:tcW w:type="dxa" w:w="2520"/>
            <w:vAlign w:val="center"/>
          </w:tcPr>
          <w:p>
            <w:r/>
            <w:r>
              <w:rPr>
                <w:rFonts w:ascii="Aptos" w:hAnsi="Aptos"/>
                <w:b/>
                <w:sz w:val="19"/>
              </w:rPr>
              <w:t>Summary</w:t>
            </w:r>
          </w:p>
        </w:tc>
        <w:tc>
          <w:tcPr>
            <w:tcW w:type="dxa" w:w="2520"/>
            <w:vAlign w:val="center"/>
          </w:tcPr>
          <w:p>
            <w:r/>
            <w:r>
              <w:rPr>
                <w:rFonts w:ascii="Aptos" w:hAnsi="Aptos"/>
                <w:b w:val="0"/>
                <w:sz w:val="19"/>
              </w:rPr>
              <w:t>One-to-One</w:t>
            </w:r>
          </w:p>
        </w:tc>
        <w:tc>
          <w:tcPr>
            <w:tcW w:type="dxa" w:w="2520"/>
            <w:vAlign w:val="center"/>
          </w:tcPr>
          <w:p>
            <w:r/>
            <w:r>
              <w:rPr>
                <w:rFonts w:ascii="Aptos" w:hAnsi="Aptos"/>
                <w:b w:val="0"/>
                <w:sz w:val="19"/>
              </w:rPr>
              <w:t>Each uploaded material can have one AI-generated summary.</w:t>
            </w:r>
          </w:p>
        </w:tc>
      </w:tr>
      <w:tr>
        <w:tc>
          <w:tcPr>
            <w:tcW w:type="dxa" w:w="2520"/>
            <w:vAlign w:val="center"/>
          </w:tcPr>
          <w:p>
            <w:r/>
            <w:r>
              <w:rPr>
                <w:rFonts w:ascii="Aptos" w:hAnsi="Aptos"/>
                <w:b/>
                <w:sz w:val="19"/>
              </w:rPr>
              <w:t>Study Material</w:t>
            </w:r>
          </w:p>
        </w:tc>
        <w:tc>
          <w:tcPr>
            <w:tcW w:type="dxa" w:w="2520"/>
            <w:vAlign w:val="center"/>
          </w:tcPr>
          <w:p>
            <w:r/>
            <w:r>
              <w:rPr>
                <w:rFonts w:ascii="Aptos" w:hAnsi="Aptos"/>
                <w:b/>
                <w:sz w:val="19"/>
              </w:rPr>
              <w:t>Flashcard</w:t>
            </w:r>
          </w:p>
        </w:tc>
        <w:tc>
          <w:tcPr>
            <w:tcW w:type="dxa" w:w="2520"/>
            <w:vAlign w:val="center"/>
          </w:tcPr>
          <w:p>
            <w:r/>
            <w:r>
              <w:rPr>
                <w:rFonts w:ascii="Aptos" w:hAnsi="Aptos"/>
                <w:b w:val="0"/>
                <w:sz w:val="19"/>
              </w:rPr>
              <w:t>One-to-Many</w:t>
            </w:r>
          </w:p>
        </w:tc>
        <w:tc>
          <w:tcPr>
            <w:tcW w:type="dxa" w:w="2520"/>
            <w:vAlign w:val="center"/>
          </w:tcPr>
          <w:p>
            <w:r/>
            <w:r>
              <w:rPr>
                <w:rFonts w:ascii="Aptos" w:hAnsi="Aptos"/>
                <w:b w:val="0"/>
                <w:sz w:val="19"/>
              </w:rPr>
              <w:t>One study material can generate multiple flashcards.</w:t>
            </w:r>
          </w:p>
        </w:tc>
      </w:tr>
      <w:tr>
        <w:tc>
          <w:tcPr>
            <w:tcW w:type="dxa" w:w="2520"/>
            <w:vAlign w:val="center"/>
          </w:tcPr>
          <w:p>
            <w:r/>
            <w:r>
              <w:rPr>
                <w:rFonts w:ascii="Aptos" w:hAnsi="Aptos"/>
                <w:b/>
                <w:sz w:val="19"/>
              </w:rPr>
              <w:t>Study Material</w:t>
            </w:r>
          </w:p>
        </w:tc>
        <w:tc>
          <w:tcPr>
            <w:tcW w:type="dxa" w:w="2520"/>
            <w:vAlign w:val="center"/>
          </w:tcPr>
          <w:p>
            <w:r/>
            <w:r>
              <w:rPr>
                <w:rFonts w:ascii="Aptos" w:hAnsi="Aptos"/>
                <w:b/>
                <w:sz w:val="19"/>
              </w:rPr>
              <w:t>Quiz</w:t>
            </w:r>
          </w:p>
        </w:tc>
        <w:tc>
          <w:tcPr>
            <w:tcW w:type="dxa" w:w="2520"/>
            <w:vAlign w:val="center"/>
          </w:tcPr>
          <w:p>
            <w:r/>
            <w:r>
              <w:rPr>
                <w:rFonts w:ascii="Aptos" w:hAnsi="Aptos"/>
                <w:b w:val="0"/>
                <w:sz w:val="19"/>
              </w:rPr>
              <w:t>One-to-One</w:t>
            </w:r>
          </w:p>
        </w:tc>
        <w:tc>
          <w:tcPr>
            <w:tcW w:type="dxa" w:w="2520"/>
            <w:vAlign w:val="center"/>
          </w:tcPr>
          <w:p>
            <w:r/>
            <w:r>
              <w:rPr>
                <w:rFonts w:ascii="Aptos" w:hAnsi="Aptos"/>
                <w:b w:val="0"/>
                <w:sz w:val="19"/>
              </w:rPr>
              <w:t>One study material can generate one quiz containing multiple questions.</w:t>
            </w:r>
          </w:p>
        </w:tc>
      </w:tr>
      <w:tr>
        <w:tc>
          <w:tcPr>
            <w:tcW w:type="dxa" w:w="2520"/>
            <w:vAlign w:val="center"/>
          </w:tcPr>
          <w:p>
            <w:r/>
            <w:r>
              <w:rPr>
                <w:rFonts w:ascii="Aptos" w:hAnsi="Aptos"/>
                <w:b/>
                <w:sz w:val="19"/>
              </w:rPr>
              <w:t>User</w:t>
            </w:r>
          </w:p>
        </w:tc>
        <w:tc>
          <w:tcPr>
            <w:tcW w:type="dxa" w:w="2520"/>
            <w:vAlign w:val="center"/>
          </w:tcPr>
          <w:p>
            <w:r/>
            <w:r>
              <w:rPr>
                <w:rFonts w:ascii="Aptos" w:hAnsi="Aptos"/>
                <w:b/>
                <w:sz w:val="19"/>
              </w:rPr>
              <w:t>Study Plan</w:t>
            </w:r>
          </w:p>
        </w:tc>
        <w:tc>
          <w:tcPr>
            <w:tcW w:type="dxa" w:w="2520"/>
            <w:vAlign w:val="center"/>
          </w:tcPr>
          <w:p>
            <w:r/>
            <w:r>
              <w:rPr>
                <w:rFonts w:ascii="Aptos" w:hAnsi="Aptos"/>
                <w:b w:val="0"/>
                <w:sz w:val="19"/>
              </w:rPr>
              <w:t>One-to-Many</w:t>
            </w:r>
          </w:p>
        </w:tc>
        <w:tc>
          <w:tcPr>
            <w:tcW w:type="dxa" w:w="2520"/>
            <w:vAlign w:val="center"/>
          </w:tcPr>
          <w:p>
            <w:r/>
            <w:r>
              <w:rPr>
                <w:rFonts w:ascii="Aptos" w:hAnsi="Aptos"/>
                <w:b w:val="0"/>
                <w:sz w:val="19"/>
              </w:rPr>
              <w:t>A user can generate multiple study plans.</w:t>
            </w:r>
          </w:p>
        </w:tc>
      </w:tr>
    </w:tbl>
    <w:p>
      <w:pPr>
        <w:pStyle w:val="Heading1"/>
      </w:pPr>
      <w:r>
        <w:t>10. Implementation Notes</w:t>
      </w:r>
    </w:p>
    <w:p>
      <w:pPr>
        <w:pStyle w:val="ListBullet"/>
        <w:spacing w:after="60"/>
      </w:pPr>
      <w:r>
        <w:t>MongoDB is used as the primary NoSQL database.</w:t>
      </w:r>
    </w:p>
    <w:p>
      <w:pPr>
        <w:pStyle w:val="ListBullet"/>
        <w:spacing w:after="60"/>
      </w:pPr>
      <w:r>
        <w:t>Mongoose provides the schema and ODM layer.</w:t>
      </w:r>
    </w:p>
    <w:p>
      <w:pPr>
        <w:pStyle w:val="ListBullet"/>
        <w:spacing w:after="60"/>
      </w:pPr>
      <w:r>
        <w:t>The MongoDB connection is initialized during backend startup.</w:t>
      </w:r>
    </w:p>
    <w:p>
      <w:pPr>
        <w:pStyle w:val="ListBullet"/>
        <w:spacing w:after="60"/>
      </w:pPr>
      <w:r>
        <w:t>User passwords are hashed before database storage.</w:t>
      </w:r>
    </w:p>
    <w:p>
      <w:pPr>
        <w:pStyle w:val="ListBullet"/>
        <w:spacing w:after="60"/>
      </w:pPr>
      <w:r>
        <w:t>Study materials contain the content used as input for AI features.</w:t>
      </w:r>
    </w:p>
    <w:p>
      <w:pPr>
        <w:pStyle w:val="ListBullet"/>
        <w:spacing w:after="60"/>
      </w:pPr>
      <w:r>
        <w:t>The database layer supports the backend's REST API operations and AI-resource persistence.</w:t>
      </w:r>
    </w:p>
    <w:p>
      <w:pPr>
        <w:pStyle w:val="Heading1"/>
      </w:pPr>
      <w:r>
        <w:t>11. Phase 5 Summary</w:t>
      </w:r>
    </w:p>
    <w:p>
      <w:pPr>
        <w:spacing w:after="120"/>
      </w:pPr>
      <w:r>
        <w:t>Phase 5 establishes the database layer of AI StudyBuddy. MongoDB provides the NoSQL data store while Mongoose supplies schema definitions, validation, and database interaction.</w:t>
      </w:r>
    </w:p>
    <w:p>
      <w:pPr>
        <w:spacing w:after="120"/>
      </w:pPr>
      <w:r>
        <w:t>The documented implementation includes a Mongoose database connection, a User schema for authentication/profile data, and a Study Material schema for uploaded learning content and generated AI resources. The phase also documents the database collections and the REST API groups that operate on database and AI services.</w:t>
      </w:r>
    </w:p>
    <w:p>
      <w:pPr>
        <w:spacing w:after="120"/>
      </w:pPr>
      <w:r>
        <w:t>This database layer supports the backend modules documented in Phase 4 and provides the persistence foundation required for the AI learning features documented in later phases.</w:t>
      </w:r>
    </w:p>
    <w:p>
      <w:pPr>
        <w:pStyle w:val="Heading1"/>
      </w:pPr>
      <w:r>
        <w:t>Source Basis</w:t>
      </w:r>
    </w:p>
    <w:p>
      <w:pPr>
        <w:spacing w:after="120"/>
      </w:pPr>
      <w:r>
        <w:t>This Phase 5 document is derived from the supplied 23-page AI-StudyBuddy_API project document, particularly the Database Configuration and API Route Interface material on pages 15–18. The MongoDB connection, User schema, and Study Material schema screenshots have been reused from the supplied document.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StudyBuddy (LearnMate)  •  Database Configuration &amp; Data Models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AI StudyBuddy (LearnMate)  |  Phase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