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AI STUDYBUDDY</w:t>
      </w:r>
    </w:p>
    <w:p>
      <w:pPr>
        <w:jc w:val="center"/>
      </w:pPr>
      <w:r>
        <w:rPr>
          <w:b/>
          <w:sz w:val="40"/>
        </w:rPr>
        <w:t>(LearnMate)</w:t>
      </w:r>
    </w:p>
    <w:p>
      <w:pPr>
        <w:jc w:val="center"/>
      </w:pPr>
      <w:r>
        <w:rPr>
          <w:b/>
          <w:sz w:val="36"/>
        </w:rPr>
        <w:t>PHASE 6</w:t>
      </w:r>
    </w:p>
    <w:p>
      <w:pPr>
        <w:jc w:val="center"/>
      </w:pPr>
      <w:r>
        <w:rPr>
          <w:b/>
          <w:sz w:val="32"/>
        </w:rPr>
        <w:t>AI Services &amp; Learning Feature APIs</w:t>
      </w:r>
    </w:p>
    <w:p>
      <w:pPr>
        <w:jc w:val="center"/>
      </w:pPr>
      <w:r>
        <w:rPr>
          <w:b w:val="0"/>
          <w:sz w:val="24"/>
        </w:rPr>
        <w:t>Technical Documentation</w:t>
      </w:r>
    </w:p>
    <w:p>
      <w:r>
        <w:br w:type="page"/>
      </w:r>
    </w:p>
    <w:p>
      <w:pPr>
        <w:pStyle w:val="Heading1"/>
      </w:pPr>
      <w:r>
        <w:t>1. Phase 6 Scope</w:t>
      </w:r>
    </w:p>
    <w:p>
      <w:pPr>
        <w:spacing w:after="120"/>
      </w:pPr>
      <w:r>
        <w:t>Phase 6 documents the AI service integration and learning-feature API layer of AI StudyBuddy. It focuses on the Google Gemini integration and the REST API operations used to generate summaries, flashcards, quizzes, and personalized study plans.</w:t>
      </w:r>
    </w:p>
    <w:p>
      <w:pPr>
        <w:spacing w:after="120"/>
      </w:pPr>
      <w:r>
        <w:t>The supplied project document identifies these AI capabilities as core backend services. The AI service receives study content through backend operations and returns generated educational resources for the authenticated user.</w:t>
      </w:r>
    </w:p>
    <w:p>
      <w:pPr>
        <w:pStyle w:val="Heading1"/>
      </w:pPr>
      <w:r>
        <w:t>2. AI Service Integration</w:t>
      </w:r>
    </w:p>
    <w:p>
      <w:pPr>
        <w:spacing w:after="120"/>
      </w:pPr>
      <w:r>
        <w:t>AI StudyBuddy integrates the Google Gemini AI API to perform natural-language processing tasks for educational content generation.</w:t>
      </w:r>
    </w:p>
    <w:p>
      <w:pPr>
        <w:spacing w:after="120"/>
      </w:pPr>
      <w:r>
        <w:t>The dedicated AI service communicates with the Gemini model to generate summaries, quizzes, flashcards, and personalized study plans based on the user's study content.</w:t>
      </w:r>
    </w:p>
    <w:p>
      <w:pPr>
        <w:spacing w:after="120"/>
      </w:pPr>
      <w:r>
        <w:t>The backend utility documented in the project is src/utils/gemini.js. The source describes this utility as integrating the Google Gemini 2.5 Flash API, sending prompts to the model, and returning generated responses.</w:t>
      </w:r>
    </w:p>
    <w:p>
      <w:pPr>
        <w:jc w:val="center"/>
      </w:pPr>
      <w:r>
        <w:drawing>
          <wp:inline xmlns:a="http://schemas.openxmlformats.org/drawingml/2006/main" xmlns:pic="http://schemas.openxmlformats.org/drawingml/2006/picture">
            <wp:extent cx="5897880" cy="2612589"/>
            <wp:docPr id="1" name="Picture 1"/>
            <wp:cNvGraphicFramePr>
              <a:graphicFrameLocks noChangeAspect="1"/>
            </wp:cNvGraphicFramePr>
            <a:graphic>
              <a:graphicData uri="http://schemas.openxmlformats.org/drawingml/2006/picture">
                <pic:pic>
                  <pic:nvPicPr>
                    <pic:cNvPr id="0" name="img_10.png"/>
                    <pic:cNvPicPr/>
                  </pic:nvPicPr>
                  <pic:blipFill>
                    <a:blip r:embed="rId11"/>
                    <a:stretch>
                      <a:fillRect/>
                    </a:stretch>
                  </pic:blipFill>
                  <pic:spPr>
                    <a:xfrm>
                      <a:off x="0" y="0"/>
                      <a:ext cx="5897880" cy="2612589"/>
                    </a:xfrm>
                    <a:prstGeom prst="rect"/>
                  </pic:spPr>
                </pic:pic>
              </a:graphicData>
            </a:graphic>
          </wp:inline>
        </w:drawing>
      </w:r>
    </w:p>
    <w:p>
      <w:pPr>
        <w:jc w:val="center"/>
      </w:pPr>
      <w:r>
        <w:rPr>
          <w:i/>
          <w:sz w:val="17"/>
        </w:rPr>
        <w:t>Figure 2.1 — Google Gemini AI integration shown in the supplied document (page 14)</w:t>
      </w:r>
    </w:p>
    <w:p>
      <w:pPr>
        <w:pStyle w:val="Heading2"/>
      </w:pPr>
      <w:r>
        <w:t>2.1 AI Processing Role</w:t>
      </w:r>
    </w:p>
    <w:p>
      <w:pPr>
        <w:pStyle w:val="ListBullet"/>
        <w:spacing w:after="60"/>
      </w:pPr>
      <w:r>
        <w:t>Receive study content through backend feature operations.</w:t>
      </w:r>
    </w:p>
    <w:p>
      <w:pPr>
        <w:pStyle w:val="ListBullet"/>
        <w:spacing w:after="60"/>
      </w:pPr>
      <w:r>
        <w:t>Construct/send an AI prompt through the dedicated Gemini utility.</w:t>
      </w:r>
    </w:p>
    <w:p>
      <w:pPr>
        <w:pStyle w:val="ListBullet"/>
        <w:spacing w:after="60"/>
      </w:pPr>
      <w:r>
        <w:t>Communicate with the Google Gemini model.</w:t>
      </w:r>
    </w:p>
    <w:p>
      <w:pPr>
        <w:pStyle w:val="ListBullet"/>
        <w:spacing w:after="60"/>
      </w:pPr>
      <w:r>
        <w:t>Return the generated response to the backend feature operation.</w:t>
      </w:r>
    </w:p>
    <w:p>
      <w:pPr>
        <w:pStyle w:val="ListBullet"/>
        <w:spacing w:after="60"/>
      </w:pPr>
      <w:r>
        <w:t>Make the generated learning resource available to the authenticated user.</w:t>
      </w:r>
    </w:p>
    <w:p>
      <w:pPr>
        <w:pStyle w:val="Heading1"/>
      </w:pPr>
      <w:r>
        <w:t>3. AI-Powered Learning Features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9"/>
              </w:rPr>
              <w:t>Feature</w:t>
            </w:r>
          </w:p>
        </w:tc>
        <w:tc>
          <w:tcPr>
            <w:tcW w:type="dxa" w:w="3360"/>
            <w:vAlign w:val="center"/>
            <w:shd w:fill="D9EAF7"/>
          </w:tcPr>
          <w:p>
            <w:r/>
            <w:r>
              <w:rPr>
                <w:rFonts w:ascii="Aptos" w:hAnsi="Aptos"/>
                <w:b/>
                <w:sz w:val="19"/>
              </w:rPr>
              <w:t>Documented Function</w:t>
            </w:r>
          </w:p>
        </w:tc>
        <w:tc>
          <w:tcPr>
            <w:tcW w:type="dxa" w:w="3360"/>
            <w:vAlign w:val="center"/>
            <w:shd w:fill="D9EAF7"/>
          </w:tcPr>
          <w:p>
            <w:r/>
            <w:r>
              <w:rPr>
                <w:rFonts w:ascii="Aptos" w:hAnsi="Aptos"/>
                <w:b/>
                <w:sz w:val="19"/>
              </w:rPr>
              <w:t>Endpoint</w:t>
            </w:r>
          </w:p>
        </w:tc>
      </w:tr>
      <w:tr>
        <w:tc>
          <w:tcPr>
            <w:tcW w:type="dxa" w:w="3360"/>
            <w:vAlign w:val="center"/>
          </w:tcPr>
          <w:p>
            <w:r/>
            <w:r>
              <w:rPr>
                <w:rFonts w:ascii="Aptos" w:hAnsi="Aptos"/>
                <w:b/>
                <w:sz w:val="19"/>
              </w:rPr>
              <w:t>AI Summary Generation</w:t>
            </w:r>
          </w:p>
        </w:tc>
        <w:tc>
          <w:tcPr>
            <w:tcW w:type="dxa" w:w="3360"/>
            <w:vAlign w:val="center"/>
          </w:tcPr>
          <w:p>
            <w:r/>
            <w:r>
              <w:rPr>
                <w:rFonts w:ascii="Aptos" w:hAnsi="Aptos"/>
                <w:b w:val="0"/>
                <w:sz w:val="19"/>
              </w:rPr>
              <w:t>Generates concise and easy-to-understand summaries from uploaded study content.</w:t>
            </w:r>
          </w:p>
        </w:tc>
        <w:tc>
          <w:tcPr>
            <w:tcW w:type="dxa" w:w="3360"/>
            <w:vAlign w:val="center"/>
          </w:tcPr>
          <w:p>
            <w:r/>
            <w:r>
              <w:rPr>
                <w:rFonts w:ascii="Aptos" w:hAnsi="Aptos"/>
                <w:b w:val="0"/>
                <w:sz w:val="19"/>
              </w:rPr>
              <w:t>POST /api/materials/:id/summarize</w:t>
            </w:r>
          </w:p>
        </w:tc>
      </w:tr>
      <w:tr>
        <w:tc>
          <w:tcPr>
            <w:tcW w:type="dxa" w:w="3360"/>
            <w:vAlign w:val="center"/>
          </w:tcPr>
          <w:p>
            <w:r/>
            <w:r>
              <w:rPr>
                <w:rFonts w:ascii="Aptos" w:hAnsi="Aptos"/>
                <w:b/>
                <w:sz w:val="19"/>
              </w:rPr>
              <w:t>AI Flashcard Generation</w:t>
            </w:r>
          </w:p>
        </w:tc>
        <w:tc>
          <w:tcPr>
            <w:tcW w:type="dxa" w:w="3360"/>
            <w:vAlign w:val="center"/>
          </w:tcPr>
          <w:p>
            <w:r/>
            <w:r>
              <w:rPr>
                <w:rFonts w:ascii="Aptos" w:hAnsi="Aptos"/>
                <w:b w:val="0"/>
                <w:sz w:val="19"/>
              </w:rPr>
              <w:t>Automatically creates flashcards from study materials to support concept revision and active recall.</w:t>
            </w:r>
          </w:p>
        </w:tc>
        <w:tc>
          <w:tcPr>
            <w:tcW w:type="dxa" w:w="3360"/>
            <w:vAlign w:val="center"/>
          </w:tcPr>
          <w:p>
            <w:r/>
            <w:r>
              <w:rPr>
                <w:rFonts w:ascii="Aptos" w:hAnsi="Aptos"/>
                <w:b w:val="0"/>
                <w:sz w:val="19"/>
              </w:rPr>
              <w:t>POST /api/ai/flashcards</w:t>
            </w:r>
          </w:p>
        </w:tc>
      </w:tr>
      <w:tr>
        <w:tc>
          <w:tcPr>
            <w:tcW w:type="dxa" w:w="3360"/>
            <w:vAlign w:val="center"/>
          </w:tcPr>
          <w:p>
            <w:r/>
            <w:r>
              <w:rPr>
                <w:rFonts w:ascii="Aptos" w:hAnsi="Aptos"/>
                <w:b/>
                <w:sz w:val="19"/>
              </w:rPr>
              <w:t>AI Quiz Generation</w:t>
            </w:r>
          </w:p>
        </w:tc>
        <w:tc>
          <w:tcPr>
            <w:tcW w:type="dxa" w:w="3360"/>
            <w:vAlign w:val="center"/>
          </w:tcPr>
          <w:p>
            <w:r/>
            <w:r>
              <w:rPr>
                <w:rFonts w:ascii="Aptos" w:hAnsi="Aptos"/>
                <w:b w:val="0"/>
                <w:sz w:val="19"/>
              </w:rPr>
              <w:t>Produces multiple-choice quizzes based on uploaded content so students can test their knowledge.</w:t>
            </w:r>
          </w:p>
        </w:tc>
        <w:tc>
          <w:tcPr>
            <w:tcW w:type="dxa" w:w="3360"/>
            <w:vAlign w:val="center"/>
          </w:tcPr>
          <w:p>
            <w:r/>
            <w:r>
              <w:rPr>
                <w:rFonts w:ascii="Aptos" w:hAnsi="Aptos"/>
                <w:b w:val="0"/>
                <w:sz w:val="19"/>
              </w:rPr>
              <w:t>POST /api/ai/quiz</w:t>
            </w:r>
          </w:p>
        </w:tc>
      </w:tr>
      <w:tr>
        <w:tc>
          <w:tcPr>
            <w:tcW w:type="dxa" w:w="3360"/>
            <w:vAlign w:val="center"/>
          </w:tcPr>
          <w:p>
            <w:r/>
            <w:r>
              <w:rPr>
                <w:rFonts w:ascii="Aptos" w:hAnsi="Aptos"/>
                <w:b/>
                <w:sz w:val="19"/>
              </w:rPr>
              <w:t>AI Study Plan Generation</w:t>
            </w:r>
          </w:p>
        </w:tc>
        <w:tc>
          <w:tcPr>
            <w:tcW w:type="dxa" w:w="3360"/>
            <w:vAlign w:val="center"/>
          </w:tcPr>
          <w:p>
            <w:r/>
            <w:r>
              <w:rPr>
                <w:rFonts w:ascii="Aptos" w:hAnsi="Aptos"/>
                <w:b w:val="0"/>
                <w:sz w:val="19"/>
              </w:rPr>
              <w:t>Generates personalized study plans according to the user's learning goals and available study time.</w:t>
            </w:r>
          </w:p>
        </w:tc>
        <w:tc>
          <w:tcPr>
            <w:tcW w:type="dxa" w:w="3360"/>
            <w:vAlign w:val="center"/>
          </w:tcPr>
          <w:p>
            <w:r/>
            <w:r>
              <w:rPr>
                <w:rFonts w:ascii="Aptos" w:hAnsi="Aptos"/>
                <w:b w:val="0"/>
                <w:sz w:val="19"/>
              </w:rPr>
              <w:t>POST /api/ai/study-plan</w:t>
            </w:r>
          </w:p>
        </w:tc>
      </w:tr>
    </w:tbl>
    <w:p>
      <w:pPr>
        <w:pStyle w:val="Heading1"/>
      </w:pPr>
      <w:r>
        <w:t>4. AI Summary Generation</w:t>
      </w:r>
    </w:p>
    <w:p>
      <w:pPr>
        <w:spacing w:after="120"/>
      </w:pPr>
      <w:r>
        <w:t>The summary feature sends uploaded study material to the Google Gemini API and generates a concise summary.</w:t>
      </w:r>
    </w:p>
    <w:p>
      <w:pPr>
        <w:spacing w:after="120"/>
      </w:pPr>
      <w:r>
        <w:t>The source document identifies the endpoint:</w:t>
      </w:r>
    </w:p>
    <w:p>
      <w:pPr>
        <w:spacing w:after="160"/>
        <w:ind w:left="288" w:right="288"/>
        <w:shd w:fill="F1F3F5"/>
      </w:pPr>
      <w:r>
        <w:rPr>
          <w:rFonts w:ascii="Consolas" w:hAnsi="Consolas"/>
          <w:sz w:val="18"/>
        </w:rPr>
        <w:t>POST /api/materials/:id/summarize</w:t>
      </w:r>
    </w:p>
    <w:p>
      <w:pPr>
        <w:spacing w:after="120"/>
      </w:pPr>
      <w:r>
        <w:t>The operation is associated with a study-material record identified by :id. The generated summary is intended to support faster revision and can be stored as part of the learning resources associated with the user/material.</w:t>
      </w:r>
    </w:p>
    <w:p>
      <w:pPr>
        <w:jc w:val="center"/>
      </w:pPr>
      <w:r>
        <w:drawing>
          <wp:inline xmlns:a="http://schemas.openxmlformats.org/drawingml/2006/main" xmlns:pic="http://schemas.openxmlformats.org/drawingml/2006/picture">
            <wp:extent cx="5897880" cy="3727132"/>
            <wp:docPr id="2" name="Picture 2"/>
            <wp:cNvGraphicFramePr>
              <a:graphicFrameLocks noChangeAspect="1"/>
            </wp:cNvGraphicFramePr>
            <a:graphic>
              <a:graphicData uri="http://schemas.openxmlformats.org/drawingml/2006/picture">
                <pic:pic>
                  <pic:nvPicPr>
                    <pic:cNvPr id="0" name="img_14.png"/>
                    <pic:cNvPicPr/>
                  </pic:nvPicPr>
                  <pic:blipFill>
                    <a:blip r:embed="rId12"/>
                    <a:stretch>
                      <a:fillRect/>
                    </a:stretch>
                  </pic:blipFill>
                  <pic:spPr>
                    <a:xfrm>
                      <a:off x="0" y="0"/>
                      <a:ext cx="5897880" cy="3727132"/>
                    </a:xfrm>
                    <a:prstGeom prst="rect"/>
                  </pic:spPr>
                </pic:pic>
              </a:graphicData>
            </a:graphic>
          </wp:inline>
        </w:drawing>
      </w:r>
    </w:p>
    <w:p>
      <w:pPr>
        <w:jc w:val="center"/>
      </w:pPr>
      <w:r>
        <w:rPr>
          <w:i/>
          <w:sz w:val="17"/>
        </w:rPr>
        <w:t>Figure 4.1 — AI summary generation API demonstration from the supplied document (page 20)</w:t>
      </w:r>
    </w:p>
    <w:p>
      <w:pPr>
        <w:pStyle w:val="Heading1"/>
      </w:pPr>
      <w:r>
        <w:t>5. AI Flashcard Generation</w:t>
      </w:r>
    </w:p>
    <w:p>
      <w:pPr>
        <w:spacing w:after="120"/>
      </w:pPr>
      <w:r>
        <w:t>The flashcard feature creates AI-generated flashcards from uploaded study material for effective revision.</w:t>
      </w:r>
    </w:p>
    <w:p>
      <w:pPr>
        <w:spacing w:after="120"/>
      </w:pPr>
      <w:r>
        <w:t>The source document identifies the endpoint:</w:t>
      </w:r>
    </w:p>
    <w:p>
      <w:pPr>
        <w:spacing w:after="160"/>
        <w:ind w:left="288" w:right="288"/>
        <w:shd w:fill="F1F3F5"/>
      </w:pPr>
      <w:r>
        <w:rPr>
          <w:rFonts w:ascii="Consolas" w:hAnsi="Consolas"/>
          <w:sz w:val="18"/>
        </w:rPr>
        <w:t>POST /api/ai/flashcards</w:t>
      </w:r>
    </w:p>
    <w:p>
      <w:pPr>
        <w:spacing w:after="120"/>
      </w:pPr>
      <w:r>
        <w:t>Flashcards are represented in the documented data design as question-and-answer learning resources associated with the user and study material.</w:t>
      </w:r>
    </w:p>
    <w:p>
      <w:pPr>
        <w:jc w:val="center"/>
      </w:pPr>
      <w:r>
        <w:drawing>
          <wp:inline xmlns:a="http://schemas.openxmlformats.org/drawingml/2006/main" xmlns:pic="http://schemas.openxmlformats.org/drawingml/2006/picture">
            <wp:extent cx="5897880" cy="4473605"/>
            <wp:docPr id="3" name="Picture 3"/>
            <wp:cNvGraphicFramePr>
              <a:graphicFrameLocks noChangeAspect="1"/>
            </wp:cNvGraphicFramePr>
            <a:graphic>
              <a:graphicData uri="http://schemas.openxmlformats.org/drawingml/2006/picture">
                <pic:pic>
                  <pic:nvPicPr>
                    <pic:cNvPr id="0" name="img_15.png"/>
                    <pic:cNvPicPr/>
                  </pic:nvPicPr>
                  <pic:blipFill>
                    <a:blip r:embed="rId13"/>
                    <a:stretch>
                      <a:fillRect/>
                    </a:stretch>
                  </pic:blipFill>
                  <pic:spPr>
                    <a:xfrm>
                      <a:off x="0" y="0"/>
                      <a:ext cx="5897880" cy="4473605"/>
                    </a:xfrm>
                    <a:prstGeom prst="rect"/>
                  </pic:spPr>
                </pic:pic>
              </a:graphicData>
            </a:graphic>
          </wp:inline>
        </w:drawing>
      </w:r>
    </w:p>
    <w:p>
      <w:pPr>
        <w:jc w:val="center"/>
      </w:pPr>
      <w:r>
        <w:rPr>
          <w:i/>
          <w:sz w:val="17"/>
        </w:rPr>
        <w:t>Figure 5.1 — AI flashcard generation API demonstration from the supplied document (page 21)</w:t>
      </w:r>
    </w:p>
    <w:p>
      <w:pPr>
        <w:pStyle w:val="Heading1"/>
      </w:pPr>
      <w:r>
        <w:t>6. AI Quiz Generation</w:t>
      </w:r>
    </w:p>
    <w:p>
      <w:pPr>
        <w:spacing w:after="120"/>
      </w:pPr>
      <w:r>
        <w:t>The quiz feature generates multiple-choice questions from uploaded study material to help users assess their understanding.</w:t>
      </w:r>
    </w:p>
    <w:p>
      <w:pPr>
        <w:spacing w:after="120"/>
      </w:pPr>
      <w:r>
        <w:t>The source document identifies the endpoint:</w:t>
      </w:r>
    </w:p>
    <w:p>
      <w:pPr>
        <w:spacing w:after="160"/>
        <w:ind w:left="288" w:right="288"/>
        <w:shd w:fill="F1F3F5"/>
      </w:pPr>
      <w:r>
        <w:rPr>
          <w:rFonts w:ascii="Consolas" w:hAnsi="Consolas"/>
          <w:sz w:val="18"/>
        </w:rPr>
        <w:t>POST /api/ai/quiz</w:t>
      </w:r>
    </w:p>
    <w:p>
      <w:pPr>
        <w:spacing w:after="120"/>
      </w:pPr>
      <w:r>
        <w:t>The documented Quiz entity stores generated quiz questions and associates the quiz with the user and study material.</w:t>
      </w:r>
    </w:p>
    <w:p>
      <w:pPr>
        <w:jc w:val="center"/>
      </w:pPr>
      <w:r>
        <w:drawing>
          <wp:inline xmlns:a="http://schemas.openxmlformats.org/drawingml/2006/main" xmlns:pic="http://schemas.openxmlformats.org/drawingml/2006/picture">
            <wp:extent cx="5897880" cy="3727132"/>
            <wp:docPr id="4" name="Picture 4"/>
            <wp:cNvGraphicFramePr>
              <a:graphicFrameLocks noChangeAspect="1"/>
            </wp:cNvGraphicFramePr>
            <a:graphic>
              <a:graphicData uri="http://schemas.openxmlformats.org/drawingml/2006/picture">
                <pic:pic>
                  <pic:nvPicPr>
                    <pic:cNvPr id="0" name="img_16.png"/>
                    <pic:cNvPicPr/>
                  </pic:nvPicPr>
                  <pic:blipFill>
                    <a:blip r:embed="rId14"/>
                    <a:stretch>
                      <a:fillRect/>
                    </a:stretch>
                  </pic:blipFill>
                  <pic:spPr>
                    <a:xfrm>
                      <a:off x="0" y="0"/>
                      <a:ext cx="5897880" cy="3727132"/>
                    </a:xfrm>
                    <a:prstGeom prst="rect"/>
                  </pic:spPr>
                </pic:pic>
              </a:graphicData>
            </a:graphic>
          </wp:inline>
        </w:drawing>
      </w:r>
    </w:p>
    <w:p>
      <w:pPr>
        <w:jc w:val="center"/>
      </w:pPr>
      <w:r>
        <w:rPr>
          <w:i/>
          <w:sz w:val="17"/>
        </w:rPr>
        <w:t>Figure 6.1 — AI quiz generation API demonstration from the supplied document (page 21)</w:t>
      </w:r>
    </w:p>
    <w:p>
      <w:pPr>
        <w:pStyle w:val="Heading1"/>
      </w:pPr>
      <w:r>
        <w:t>7. AI Study Plan Generation</w:t>
      </w:r>
    </w:p>
    <w:p>
      <w:pPr>
        <w:spacing w:after="120"/>
      </w:pPr>
      <w:r>
        <w:t>The study-plan feature creates a personalized study schedule based on the user's learning goals and available study time.</w:t>
      </w:r>
    </w:p>
    <w:p>
      <w:pPr>
        <w:spacing w:after="120"/>
      </w:pPr>
      <w:r>
        <w:t>The source document identifies the endpoint:</w:t>
      </w:r>
    </w:p>
    <w:p>
      <w:pPr>
        <w:spacing w:after="160"/>
        <w:ind w:left="288" w:right="288"/>
        <w:shd w:fill="F1F3F5"/>
      </w:pPr>
      <w:r>
        <w:rPr>
          <w:rFonts w:ascii="Consolas" w:hAnsi="Consolas"/>
          <w:sz w:val="18"/>
        </w:rPr>
        <w:t>POST /api/ai/study-plan</w:t>
      </w:r>
    </w:p>
    <w:p>
      <w:pPr>
        <w:spacing w:after="120"/>
      </w:pPr>
      <w:r>
        <w:t>The documented Study Plan entity stores the generated study plan together with the user association and exam date.</w:t>
      </w:r>
    </w:p>
    <w:p>
      <w:pPr>
        <w:jc w:val="center"/>
      </w:pPr>
      <w:r>
        <w:drawing>
          <wp:inline xmlns:a="http://schemas.openxmlformats.org/drawingml/2006/main" xmlns:pic="http://schemas.openxmlformats.org/drawingml/2006/picture">
            <wp:extent cx="5897880" cy="3727132"/>
            <wp:docPr id="5" name="Picture 5"/>
            <wp:cNvGraphicFramePr>
              <a:graphicFrameLocks noChangeAspect="1"/>
            </wp:cNvGraphicFramePr>
            <a:graphic>
              <a:graphicData uri="http://schemas.openxmlformats.org/drawingml/2006/picture">
                <pic:pic>
                  <pic:nvPicPr>
                    <pic:cNvPr id="0" name="img_17.png"/>
                    <pic:cNvPicPr/>
                  </pic:nvPicPr>
                  <pic:blipFill>
                    <a:blip r:embed="rId15"/>
                    <a:stretch>
                      <a:fillRect/>
                    </a:stretch>
                  </pic:blipFill>
                  <pic:spPr>
                    <a:xfrm>
                      <a:off x="0" y="0"/>
                      <a:ext cx="5897880" cy="3727132"/>
                    </a:xfrm>
                    <a:prstGeom prst="rect"/>
                  </pic:spPr>
                </pic:pic>
              </a:graphicData>
            </a:graphic>
          </wp:inline>
        </w:drawing>
      </w:r>
    </w:p>
    <w:p>
      <w:pPr>
        <w:jc w:val="center"/>
      </w:pPr>
      <w:r>
        <w:rPr>
          <w:i/>
          <w:sz w:val="17"/>
        </w:rPr>
        <w:t>Figure 7.1 — AI study-plan API demonstration from the supplied document (page 22)</w:t>
      </w:r>
    </w:p>
    <w:p>
      <w:pPr>
        <w:pStyle w:val="Heading1"/>
      </w:pPr>
      <w:r>
        <w:t>8. Learning Feature API Interface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ptos" w:hAnsi="Aptos"/>
                <w:b/>
                <w:sz w:val="19"/>
              </w:rPr>
              <w:t>HTTP Method</w:t>
            </w:r>
          </w:p>
        </w:tc>
        <w:tc>
          <w:tcPr>
            <w:tcW w:type="dxa" w:w="2520"/>
            <w:vAlign w:val="center"/>
            <w:shd w:fill="D9EAF7"/>
          </w:tcPr>
          <w:p>
            <w:r/>
            <w:r>
              <w:rPr>
                <w:rFonts w:ascii="Aptos" w:hAnsi="Aptos"/>
                <w:b/>
                <w:sz w:val="19"/>
              </w:rPr>
              <w:t>Endpoint</w:t>
            </w:r>
          </w:p>
        </w:tc>
        <w:tc>
          <w:tcPr>
            <w:tcW w:type="dxa" w:w="2520"/>
            <w:vAlign w:val="center"/>
            <w:shd w:fill="D9EAF7"/>
          </w:tcPr>
          <w:p>
            <w:r/>
            <w:r>
              <w:rPr>
                <w:rFonts w:ascii="Aptos" w:hAnsi="Aptos"/>
                <w:b/>
                <w:sz w:val="19"/>
              </w:rPr>
              <w:t>Input / Context</w:t>
            </w:r>
          </w:p>
        </w:tc>
        <w:tc>
          <w:tcPr>
            <w:tcW w:type="dxa" w:w="2520"/>
            <w:vAlign w:val="center"/>
            <w:shd w:fill="D9EAF7"/>
          </w:tcPr>
          <w:p>
            <w:r/>
            <w:r>
              <w:rPr>
                <w:rFonts w:ascii="Aptos" w:hAnsi="Aptos"/>
                <w:b/>
                <w:sz w:val="19"/>
              </w:rPr>
              <w:t>Result</w:t>
            </w:r>
          </w:p>
        </w:tc>
      </w:tr>
      <w:tr>
        <w:tc>
          <w:tcPr>
            <w:tcW w:type="dxa" w:w="2520"/>
            <w:vAlign w:val="center"/>
          </w:tcPr>
          <w:p>
            <w:r/>
            <w:r>
              <w:rPr>
                <w:rFonts w:ascii="Aptos" w:hAnsi="Aptos"/>
                <w:b/>
                <w:sz w:val="19"/>
              </w:rPr>
              <w:t>POST</w:t>
            </w:r>
          </w:p>
        </w:tc>
        <w:tc>
          <w:tcPr>
            <w:tcW w:type="dxa" w:w="2520"/>
            <w:vAlign w:val="center"/>
          </w:tcPr>
          <w:p>
            <w:r/>
            <w:r>
              <w:rPr>
                <w:rFonts w:ascii="Aptos" w:hAnsi="Aptos"/>
                <w:b/>
                <w:sz w:val="19"/>
              </w:rPr>
              <w:t>/api/materials/:id/summarize</w:t>
            </w:r>
          </w:p>
        </w:tc>
        <w:tc>
          <w:tcPr>
            <w:tcW w:type="dxa" w:w="2520"/>
            <w:vAlign w:val="center"/>
          </w:tcPr>
          <w:p>
            <w:r/>
            <w:r>
              <w:rPr>
                <w:rFonts w:ascii="Aptos" w:hAnsi="Aptos"/>
                <w:b w:val="0"/>
                <w:sz w:val="19"/>
              </w:rPr>
              <w:t>Uploaded study material identified by :id</w:t>
            </w:r>
          </w:p>
        </w:tc>
        <w:tc>
          <w:tcPr>
            <w:tcW w:type="dxa" w:w="2520"/>
            <w:vAlign w:val="center"/>
          </w:tcPr>
          <w:p>
            <w:r/>
            <w:r>
              <w:rPr>
                <w:rFonts w:ascii="Aptos" w:hAnsi="Aptos"/>
                <w:b w:val="0"/>
                <w:sz w:val="19"/>
              </w:rPr>
              <w:t>Concise AI-generated summary</w:t>
            </w:r>
          </w:p>
        </w:tc>
      </w:tr>
      <w:tr>
        <w:tc>
          <w:tcPr>
            <w:tcW w:type="dxa" w:w="2520"/>
            <w:vAlign w:val="center"/>
          </w:tcPr>
          <w:p>
            <w:r/>
            <w:r>
              <w:rPr>
                <w:rFonts w:ascii="Aptos" w:hAnsi="Aptos"/>
                <w:b/>
                <w:sz w:val="19"/>
              </w:rPr>
              <w:t>POST</w:t>
            </w:r>
          </w:p>
        </w:tc>
        <w:tc>
          <w:tcPr>
            <w:tcW w:type="dxa" w:w="2520"/>
            <w:vAlign w:val="center"/>
          </w:tcPr>
          <w:p>
            <w:r/>
            <w:r>
              <w:rPr>
                <w:rFonts w:ascii="Aptos" w:hAnsi="Aptos"/>
                <w:b/>
                <w:sz w:val="19"/>
              </w:rPr>
              <w:t>/api/ai/flashcards</w:t>
            </w:r>
          </w:p>
        </w:tc>
        <w:tc>
          <w:tcPr>
            <w:tcW w:type="dxa" w:w="2520"/>
            <w:vAlign w:val="center"/>
          </w:tcPr>
          <w:p>
            <w:r/>
            <w:r>
              <w:rPr>
                <w:rFonts w:ascii="Aptos" w:hAnsi="Aptos"/>
                <w:b w:val="0"/>
                <w:sz w:val="19"/>
              </w:rPr>
              <w:t>Study material/content</w:t>
            </w:r>
          </w:p>
        </w:tc>
        <w:tc>
          <w:tcPr>
            <w:tcW w:type="dxa" w:w="2520"/>
            <w:vAlign w:val="center"/>
          </w:tcPr>
          <w:p>
            <w:r/>
            <w:r>
              <w:rPr>
                <w:rFonts w:ascii="Aptos" w:hAnsi="Aptos"/>
                <w:b w:val="0"/>
                <w:sz w:val="19"/>
              </w:rPr>
              <w:t>AI-generated flashcards</w:t>
            </w:r>
          </w:p>
        </w:tc>
      </w:tr>
      <w:tr>
        <w:tc>
          <w:tcPr>
            <w:tcW w:type="dxa" w:w="2520"/>
            <w:vAlign w:val="center"/>
          </w:tcPr>
          <w:p>
            <w:r/>
            <w:r>
              <w:rPr>
                <w:rFonts w:ascii="Aptos" w:hAnsi="Aptos"/>
                <w:b/>
                <w:sz w:val="19"/>
              </w:rPr>
              <w:t>POST</w:t>
            </w:r>
          </w:p>
        </w:tc>
        <w:tc>
          <w:tcPr>
            <w:tcW w:type="dxa" w:w="2520"/>
            <w:vAlign w:val="center"/>
          </w:tcPr>
          <w:p>
            <w:r/>
            <w:r>
              <w:rPr>
                <w:rFonts w:ascii="Aptos" w:hAnsi="Aptos"/>
                <w:b/>
                <w:sz w:val="19"/>
              </w:rPr>
              <w:t>/api/ai/quiz</w:t>
            </w:r>
          </w:p>
        </w:tc>
        <w:tc>
          <w:tcPr>
            <w:tcW w:type="dxa" w:w="2520"/>
            <w:vAlign w:val="center"/>
          </w:tcPr>
          <w:p>
            <w:r/>
            <w:r>
              <w:rPr>
                <w:rFonts w:ascii="Aptos" w:hAnsi="Aptos"/>
                <w:b w:val="0"/>
                <w:sz w:val="19"/>
              </w:rPr>
              <w:t>Study material/content</w:t>
            </w:r>
          </w:p>
        </w:tc>
        <w:tc>
          <w:tcPr>
            <w:tcW w:type="dxa" w:w="2520"/>
            <w:vAlign w:val="center"/>
          </w:tcPr>
          <w:p>
            <w:r/>
            <w:r>
              <w:rPr>
                <w:rFonts w:ascii="Aptos" w:hAnsi="Aptos"/>
                <w:b w:val="0"/>
                <w:sz w:val="19"/>
              </w:rPr>
              <w:t>AI-generated multiple-choice quiz</w:t>
            </w:r>
          </w:p>
        </w:tc>
      </w:tr>
      <w:tr>
        <w:tc>
          <w:tcPr>
            <w:tcW w:type="dxa" w:w="2520"/>
            <w:vAlign w:val="center"/>
          </w:tcPr>
          <w:p>
            <w:r/>
            <w:r>
              <w:rPr>
                <w:rFonts w:ascii="Aptos" w:hAnsi="Aptos"/>
                <w:b/>
                <w:sz w:val="19"/>
              </w:rPr>
              <w:t>POST</w:t>
            </w:r>
          </w:p>
        </w:tc>
        <w:tc>
          <w:tcPr>
            <w:tcW w:type="dxa" w:w="2520"/>
            <w:vAlign w:val="center"/>
          </w:tcPr>
          <w:p>
            <w:r/>
            <w:r>
              <w:rPr>
                <w:rFonts w:ascii="Aptos" w:hAnsi="Aptos"/>
                <w:b/>
                <w:sz w:val="19"/>
              </w:rPr>
              <w:t>/api/ai/study-plan</w:t>
            </w:r>
          </w:p>
        </w:tc>
        <w:tc>
          <w:tcPr>
            <w:tcW w:type="dxa" w:w="2520"/>
            <w:vAlign w:val="center"/>
          </w:tcPr>
          <w:p>
            <w:r/>
            <w:r>
              <w:rPr>
                <w:rFonts w:ascii="Aptos" w:hAnsi="Aptos"/>
                <w:b w:val="0"/>
                <w:sz w:val="19"/>
              </w:rPr>
              <w:t>Learning goals and available study time</w:t>
            </w:r>
          </w:p>
        </w:tc>
        <w:tc>
          <w:tcPr>
            <w:tcW w:type="dxa" w:w="2520"/>
            <w:vAlign w:val="center"/>
          </w:tcPr>
          <w:p>
            <w:r/>
            <w:r>
              <w:rPr>
                <w:rFonts w:ascii="Aptos" w:hAnsi="Aptos"/>
                <w:b w:val="0"/>
                <w:sz w:val="19"/>
              </w:rPr>
              <w:t>Personalized AI-generated study plan</w:t>
            </w:r>
          </w:p>
        </w:tc>
      </w:tr>
    </w:tbl>
    <w:p>
      <w:pPr>
        <w:pStyle w:val="Heading1"/>
      </w:pPr>
      <w:r>
        <w:t>9. AI Feature Processing Flow</w:t>
      </w:r>
    </w:p>
    <w:p>
      <w:pPr>
        <w:pStyle w:val="ListNumber"/>
        <w:spacing w:after="60"/>
      </w:pPr>
      <w:r>
        <w:t>The authenticated user provides or uploads study material.</w:t>
      </w:r>
    </w:p>
    <w:p>
      <w:pPr>
        <w:pStyle w:val="ListNumber"/>
        <w:spacing w:after="60"/>
      </w:pPr>
      <w:r>
        <w:t>The appropriate REST API endpoint receives the feature request.</w:t>
      </w:r>
    </w:p>
    <w:p>
      <w:pPr>
        <w:pStyle w:val="ListNumber"/>
        <w:spacing w:after="60"/>
      </w:pPr>
      <w:r>
        <w:t>The backend identifies the relevant study content and operation.</w:t>
      </w:r>
    </w:p>
    <w:p>
      <w:pPr>
        <w:pStyle w:val="ListNumber"/>
        <w:spacing w:after="60"/>
      </w:pPr>
      <w:r>
        <w:t>The dedicated Gemini utility communicates with the Google Gemini model.</w:t>
      </w:r>
    </w:p>
    <w:p>
      <w:pPr>
        <w:pStyle w:val="ListNumber"/>
        <w:spacing w:after="60"/>
      </w:pPr>
      <w:r>
        <w:t>The generated educational response is returned to the backend.</w:t>
      </w:r>
    </w:p>
    <w:p>
      <w:pPr>
        <w:pStyle w:val="ListNumber"/>
        <w:spacing w:after="60"/>
      </w:pPr>
      <w:r>
        <w:t>The generated learning resource is presented to the user and can be stored for future reference.</w:t>
      </w:r>
    </w:p>
    <w:p>
      <w:pPr>
        <w:pStyle w:val="Heading1"/>
      </w:pPr>
      <w:r>
        <w:t>10. Relationship with the Database Layer</w:t>
      </w:r>
    </w:p>
    <w:p>
      <w:pPr>
        <w:spacing w:after="120"/>
      </w:pPr>
      <w:r>
        <w:t>The AI services operate together with the database layer documented in Phase 5. Study materials provide the source content for AI processing, while generated resources can be associated with users and materials for future retrieval.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9"/>
              </w:rPr>
              <w:t>Entity</w:t>
            </w:r>
          </w:p>
        </w:tc>
        <w:tc>
          <w:tcPr>
            <w:tcW w:type="dxa" w:w="3360"/>
            <w:vAlign w:val="center"/>
            <w:shd w:fill="D9EAF7"/>
          </w:tcPr>
          <w:p>
            <w:r/>
            <w:r>
              <w:rPr>
                <w:rFonts w:ascii="Aptos" w:hAnsi="Aptos"/>
                <w:b/>
                <w:sz w:val="19"/>
              </w:rPr>
              <w:t>Role</w:t>
            </w:r>
          </w:p>
        </w:tc>
        <w:tc>
          <w:tcPr>
            <w:tcW w:type="dxa" w:w="3360"/>
            <w:vAlign w:val="center"/>
            <w:shd w:fill="D9EAF7"/>
          </w:tcPr>
          <w:p>
            <w:r/>
            <w:r>
              <w:rPr>
                <w:rFonts w:ascii="Aptos" w:hAnsi="Aptos"/>
                <w:b/>
                <w:sz w:val="19"/>
              </w:rPr>
              <w:t>Description</w:t>
            </w:r>
          </w:p>
        </w:tc>
      </w:tr>
      <w:tr>
        <w:tc>
          <w:tcPr>
            <w:tcW w:type="dxa" w:w="3360"/>
            <w:vAlign w:val="center"/>
          </w:tcPr>
          <w:p>
            <w:r/>
            <w:r>
              <w:rPr>
                <w:rFonts w:ascii="Aptos" w:hAnsi="Aptos"/>
                <w:b/>
                <w:sz w:val="19"/>
              </w:rPr>
              <w:t>Study Material</w:t>
            </w:r>
          </w:p>
        </w:tc>
        <w:tc>
          <w:tcPr>
            <w:tcW w:type="dxa" w:w="3360"/>
            <w:vAlign w:val="center"/>
          </w:tcPr>
          <w:p>
            <w:r/>
            <w:r>
              <w:rPr>
                <w:rFonts w:ascii="Aptos" w:hAnsi="Aptos"/>
                <w:b w:val="0"/>
                <w:sz w:val="19"/>
              </w:rPr>
              <w:t>Input</w:t>
            </w:r>
          </w:p>
        </w:tc>
        <w:tc>
          <w:tcPr>
            <w:tcW w:type="dxa" w:w="3360"/>
            <w:vAlign w:val="center"/>
          </w:tcPr>
          <w:p>
            <w:r/>
            <w:r>
              <w:rPr>
                <w:rFonts w:ascii="Aptos" w:hAnsi="Aptos"/>
                <w:b w:val="0"/>
                <w:sz w:val="19"/>
              </w:rPr>
              <w:t>Content used by AI-powered generation features.</w:t>
            </w:r>
          </w:p>
        </w:tc>
      </w:tr>
      <w:tr>
        <w:tc>
          <w:tcPr>
            <w:tcW w:type="dxa" w:w="3360"/>
            <w:vAlign w:val="center"/>
          </w:tcPr>
          <w:p>
            <w:r/>
            <w:r>
              <w:rPr>
                <w:rFonts w:ascii="Aptos" w:hAnsi="Aptos"/>
                <w:b/>
                <w:sz w:val="19"/>
              </w:rPr>
              <w:t>Summary</w:t>
            </w:r>
          </w:p>
        </w:tc>
        <w:tc>
          <w:tcPr>
            <w:tcW w:type="dxa" w:w="3360"/>
            <w:vAlign w:val="center"/>
          </w:tcPr>
          <w:p>
            <w:r/>
            <w:r>
              <w:rPr>
                <w:rFonts w:ascii="Aptos" w:hAnsi="Aptos"/>
                <w:b w:val="0"/>
                <w:sz w:val="19"/>
              </w:rPr>
              <w:t>Generated Resource</w:t>
            </w:r>
          </w:p>
        </w:tc>
        <w:tc>
          <w:tcPr>
            <w:tcW w:type="dxa" w:w="3360"/>
            <w:vAlign w:val="center"/>
          </w:tcPr>
          <w:p>
            <w:r/>
            <w:r>
              <w:rPr>
                <w:rFonts w:ascii="Aptos" w:hAnsi="Aptos"/>
                <w:b w:val="0"/>
                <w:sz w:val="19"/>
              </w:rPr>
              <w:t>Concise AI-generated revision content.</w:t>
            </w:r>
          </w:p>
        </w:tc>
      </w:tr>
      <w:tr>
        <w:tc>
          <w:tcPr>
            <w:tcW w:type="dxa" w:w="3360"/>
            <w:vAlign w:val="center"/>
          </w:tcPr>
          <w:p>
            <w:r/>
            <w:r>
              <w:rPr>
                <w:rFonts w:ascii="Aptos" w:hAnsi="Aptos"/>
                <w:b/>
                <w:sz w:val="19"/>
              </w:rPr>
              <w:t>Flashcard</w:t>
            </w:r>
          </w:p>
        </w:tc>
        <w:tc>
          <w:tcPr>
            <w:tcW w:type="dxa" w:w="3360"/>
            <w:vAlign w:val="center"/>
          </w:tcPr>
          <w:p>
            <w:r/>
            <w:r>
              <w:rPr>
                <w:rFonts w:ascii="Aptos" w:hAnsi="Aptos"/>
                <w:b w:val="0"/>
                <w:sz w:val="19"/>
              </w:rPr>
              <w:t>Generated Resource</w:t>
            </w:r>
          </w:p>
        </w:tc>
        <w:tc>
          <w:tcPr>
            <w:tcW w:type="dxa" w:w="3360"/>
            <w:vAlign w:val="center"/>
          </w:tcPr>
          <w:p>
            <w:r/>
            <w:r>
              <w:rPr>
                <w:rFonts w:ascii="Aptos" w:hAnsi="Aptos"/>
                <w:b w:val="0"/>
                <w:sz w:val="19"/>
              </w:rPr>
              <w:t>Question-and-answer learning resource.</w:t>
            </w:r>
          </w:p>
        </w:tc>
      </w:tr>
      <w:tr>
        <w:tc>
          <w:tcPr>
            <w:tcW w:type="dxa" w:w="3360"/>
            <w:vAlign w:val="center"/>
          </w:tcPr>
          <w:p>
            <w:r/>
            <w:r>
              <w:rPr>
                <w:rFonts w:ascii="Aptos" w:hAnsi="Aptos"/>
                <w:b/>
                <w:sz w:val="19"/>
              </w:rPr>
              <w:t>Quiz</w:t>
            </w:r>
          </w:p>
        </w:tc>
        <w:tc>
          <w:tcPr>
            <w:tcW w:type="dxa" w:w="3360"/>
            <w:vAlign w:val="center"/>
          </w:tcPr>
          <w:p>
            <w:r/>
            <w:r>
              <w:rPr>
                <w:rFonts w:ascii="Aptos" w:hAnsi="Aptos"/>
                <w:b w:val="0"/>
                <w:sz w:val="19"/>
              </w:rPr>
              <w:t>Generated Resource</w:t>
            </w:r>
          </w:p>
        </w:tc>
        <w:tc>
          <w:tcPr>
            <w:tcW w:type="dxa" w:w="3360"/>
            <w:vAlign w:val="center"/>
          </w:tcPr>
          <w:p>
            <w:r/>
            <w:r>
              <w:rPr>
                <w:rFonts w:ascii="Aptos" w:hAnsi="Aptos"/>
                <w:b w:val="0"/>
                <w:sz w:val="19"/>
              </w:rPr>
              <w:t>Multiple-choice assessment content.</w:t>
            </w:r>
          </w:p>
        </w:tc>
      </w:tr>
      <w:tr>
        <w:tc>
          <w:tcPr>
            <w:tcW w:type="dxa" w:w="3360"/>
            <w:vAlign w:val="center"/>
          </w:tcPr>
          <w:p>
            <w:r/>
            <w:r>
              <w:rPr>
                <w:rFonts w:ascii="Aptos" w:hAnsi="Aptos"/>
                <w:b/>
                <w:sz w:val="19"/>
              </w:rPr>
              <w:t>Study Plan</w:t>
            </w:r>
          </w:p>
        </w:tc>
        <w:tc>
          <w:tcPr>
            <w:tcW w:type="dxa" w:w="3360"/>
            <w:vAlign w:val="center"/>
          </w:tcPr>
          <w:p>
            <w:r/>
            <w:r>
              <w:rPr>
                <w:rFonts w:ascii="Aptos" w:hAnsi="Aptos"/>
                <w:b w:val="0"/>
                <w:sz w:val="19"/>
              </w:rPr>
              <w:t>Generated Resource</w:t>
            </w:r>
          </w:p>
        </w:tc>
        <w:tc>
          <w:tcPr>
            <w:tcW w:type="dxa" w:w="3360"/>
            <w:vAlign w:val="center"/>
          </w:tcPr>
          <w:p>
            <w:r/>
            <w:r>
              <w:rPr>
                <w:rFonts w:ascii="Aptos" w:hAnsi="Aptos"/>
                <w:b w:val="0"/>
                <w:sz w:val="19"/>
              </w:rPr>
              <w:t>Personalized study schedule.</w:t>
            </w:r>
          </w:p>
        </w:tc>
      </w:tr>
    </w:tbl>
    <w:p>
      <w:pPr>
        <w:pStyle w:val="Heading1"/>
      </w:pPr>
      <w:r>
        <w:t>11. AI Service Responsibilities</w:t>
      </w:r>
    </w:p>
    <w:p>
      <w:pPr>
        <w:pStyle w:val="ListBullet"/>
        <w:spacing w:after="60"/>
      </w:pPr>
      <w:r>
        <w:t>Provide a dedicated interface between backend feature operations and Google Gemini.</w:t>
      </w:r>
    </w:p>
    <w:p>
      <w:pPr>
        <w:pStyle w:val="ListBullet"/>
        <w:spacing w:after="60"/>
      </w:pPr>
      <w:r>
        <w:t>Generate educational content dynamically from user study material.</w:t>
      </w:r>
    </w:p>
    <w:p>
      <w:pPr>
        <w:pStyle w:val="ListBullet"/>
        <w:spacing w:after="60"/>
      </w:pPr>
      <w:r>
        <w:t>Support summary, flashcard, quiz, and study-plan generation.</w:t>
      </w:r>
    </w:p>
    <w:p>
      <w:pPr>
        <w:pStyle w:val="ListBullet"/>
        <w:spacing w:after="60"/>
      </w:pPr>
      <w:r>
        <w:t>Return generated model responses to the backend feature operation.</w:t>
      </w:r>
    </w:p>
    <w:p>
      <w:pPr>
        <w:pStyle w:val="ListBullet"/>
        <w:spacing w:after="60"/>
      </w:pPr>
      <w:r>
        <w:t>Support personalized learning through content generation based on user-provided study information.</w:t>
      </w:r>
    </w:p>
    <w:p>
      <w:pPr>
        <w:pStyle w:val="Heading1"/>
      </w:pPr>
      <w:r>
        <w:t>12. Phase 6 Summary</w:t>
      </w:r>
    </w:p>
    <w:p>
      <w:pPr>
        <w:spacing w:after="120"/>
      </w:pPr>
      <w:r>
        <w:t>Phase 6 documents the AI service layer and learning-feature APIs of AI StudyBuddy. Google Gemini 2.5 Flash is identified in the supplied document as the AI model used through the dedicated Gemini utility.</w:t>
      </w:r>
    </w:p>
    <w:p>
      <w:pPr>
        <w:spacing w:after="120"/>
      </w:pPr>
      <w:r>
        <w:t>Four core learning operations are documented: summary generation, flashcard generation, quiz generation, and personalized study-plan generation. Each operation is exposed through a REST API endpoint and uses study information or learning preferences as the basis for AI-generated output.</w:t>
      </w:r>
    </w:p>
    <w:p>
      <w:pPr>
        <w:spacing w:after="120"/>
      </w:pPr>
      <w:r>
        <w:t>The generated resources connect the AI layer with the database layer, allowing learning content to be associated with users and study materials for future retrieval.</w:t>
      </w:r>
    </w:p>
    <w:p>
      <w:pPr>
        <w:pStyle w:val="Heading1"/>
      </w:pPr>
      <w:r>
        <w:t>Source Basis</w:t>
      </w:r>
    </w:p>
    <w:p>
      <w:pPr>
        <w:spacing w:after="120"/>
      </w:pPr>
      <w:r>
        <w:t>This Phase 6 document is derived from the supplied 23-page AI-StudyBuddy_API project document, particularly the AI integration material on pages 14–15 and the AI Feature API material on pages 17–22. The relevant AI API demonstration screenshots have been reused from the supplied document.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StudyBuddy (LearnMate)  •  AI Services &amp; Learning Feature APIs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AI StudyBuddy (LearnMate)  |  Phase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