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(CS4277): top student in a class of 24, NUS School of Computing.</w:t>
      </w:r>
    </w:p>
    <w:p>
      <w:pPr>
        <w:spacing w:before="0" w:after="20"/>
        <w:ind w:left="259" w:hanging="259"/>
      </w:pPr>
      <w:r>
        <w:t>• Relevant coursework: Artificial Intelligence, 3D Computer Vision, Software Engineering, Simulation, Statistics, Operations Research, Linear Algebra, Probability.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spacing w:before="0" w:after="20"/>
        <w:ind w:left="259" w:hanging="259"/>
      </w:pPr>
      <w:r>
        <w:t>• Engineer processing and evaluation stages that deliver perception-ready frame quality for downstream robotics vision.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scheduling, translating production objectives and constraints into decision-ready schedules.</w:t>
      </w:r>
    </w:p>
    <w:p>
      <w:pPr>
        <w:spacing w:before="0" w:after="20"/>
        <w:ind w:left="259" w:hanging="259"/>
      </w:pPr>
      <w:r>
        <w:t>• Delivered practical AI upskilling to the regional engineering workforce for day-to-day operational use.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Platform &amp; Solutions Engineer (Sparks 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SG: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Maritime Deficiency Severity Forecasting: Maritime Hackathon 2025 (Team Lead)</w:t>
      </w:r>
      <w:r>
        <w:tab/>
        <w:t>2025</w:t>
      </w:r>
    </w:p>
    <w:p>
      <w:pPr>
        <w:spacing w:before="0" w:after="20"/>
        <w:ind w:left="259" w:hanging="259"/>
      </w:pPr>
      <w:r>
        <w:t>• Led model training for a maritime-inspection NLP system, fine-tuning a 109M-parameter BERT with DNN layers, gradient clipping, and hyperparameter optimization on the ASPIRE 2A supercomputer.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AgeWellLah.AI: NUS HealthHack 2025</w:t>
      </w:r>
      <w:r>
        <w:tab/>
        <w:t>2025</w:t>
      </w:r>
    </w:p>
    <w:p>
      <w:pPr>
        <w:spacing w:before="0" w:after="20"/>
        <w:ind w:left="259" w:hanging="259"/>
      </w:pPr>
      <w:r>
        <w:t>• Built an elderly-care triage chatbot using OpenAI GPT-4, InterSystems IRIS Vector Search, and Flask, with OAuth2-secured patient profiles and PDPA-aware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Python, PyTorch, BERT, DNN, RAG, AI agents, GPT-4, Gemini, SEALION, ONNX, Chroma, local LLM serving (llama.cpp), vector search, model evaluation, NLP; vision: camera ISP, super-resolution, image restoration, SfM, epipolar geometry, multi-view stereo; HPC: ASPIRE 2A, CUDA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AI Engineer Resume</dc:title>
  <dc:subject>AI Engineer Resume</dc:subject>
  <dc:creator>Rahul Mitra</dc:creator>
  <cp:keywords>rahul-mitra.com, AI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