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Led deployment planning, multi-repo coordination, and stakeholder management across product, engineering, and operations, winning the S$20,000 Sparks Community Innovation Fund.</w:t>
      </w:r>
    </w:p>
    <w:p>
      <w:pPr>
        <w:spacing w:before="0" w:after="0"/>
        <w:ind w:left="780" w:hanging="119"/>
      </w:pPr>
      <w:r>
        <w:t>• Provisioned AWS infrastructure with Terraform across Fargate services, Route 53 DNS, Redis caching, and Kafka messaging, and applied cloud security controls environment-wide.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SmartExam: GovTech x NTUPC Product Hackathon</w:t>
      </w:r>
      <w:r>
        <w:rPr>
          <w:b/>
        </w:rPr>
        <w:tab/>
        <w:t>Apr 2025</w:t>
      </w:r>
    </w:p>
    <w:p>
      <w:pPr>
        <w:spacing w:before="0" w:after="0"/>
        <w:ind w:left="780" w:hanging="119"/>
      </w:pPr>
      <w:r>
        <w:t>• Streamlined exam practice into a multi-agent RAG pipeline turning students' own notes into adaptive-difficulty papers, replacing hundreds of dollars of past-year paper purchases.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