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3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3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3"/>
      </w:pPr>
      <w:r>
        <w:t>• Won a S$20,000 Sparks Community Innovation Fund award for public good initiatives, then led deployment planning, multi-repo coordination, and stakeholder management across product, engineering, and operations.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3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3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(ECS Fargate, RDS, ALB, WAFv2, VPC, ECR, S3, Secrets Manager, KMS, IAM/STS OIDC, Route 53, ACM, CloudWatch, Lambda, API Gateway), Terraform, AWS SAM, Azure App Service,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