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spacing w:before="0" w:after="20"/>
        <w:ind w:left="259" w:hanging="259"/>
      </w:pPr>
      <w:r>
        <w:t>•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EthosLens — LifeHack 2025</w:t>
      </w:r>
      <w:r>
        <w:tab/>
        <w:t>2025</w:t>
      </w:r>
    </w:p>
    <w:p>
      <w:pPr>
        <w:spacing w:before="0" w:after="20"/>
        <w:ind w:left="259" w:hanging="259"/>
      </w:pPr>
      <w:r>
        <w:t>• Built an AI research engine scoring brand ethics and sustainability using FastAPI, Python, and LangChain with automated evidence retrieval.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architecture; cloud (Azure, Docker, CI/CD); full-stack (React, TypeScript, FastAPI, Flask); Singpass Login &amp; Myinfo (OIDC); RAG &amp; AI agents; GIS mapping; accessibility; rapid prototyping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Civic Tech Solution Architect Resume</dc:title>
  <dc:subject>Civic Tech Solution Architect Resume</dc:subject>
  <dc:creator>Rahul Mitra</dc:creator>
  <cp:keywords>rahul-mitra.com, Civic Tech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