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Operations Research, Simulation, Statistics for Engineering Applications, Industrial Systems Engineering, Artificial Intelligence, 3D Computer Vision.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scheduling; compared heuristic, MIP, and genetic-algorithm approaches and researched robust optimization.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Hybrid Flow-Shop Digital Twin Optimizer</w:t>
      </w:r>
      <w:r>
        <w:tab/>
        <w:t>2026</w:t>
      </w:r>
    </w:p>
    <w:p>
      <w:pPr>
        <w:spacing w:before="0" w:after="20"/>
        <w:ind w:left="259" w:hanging="259"/>
      </w:pPr>
      <w:r>
        <w:t>• Modeled hybrid flow-shop scheduling as a SimPy digital twin with explicit objectives and constraints, using CP-SAT, simulation, and deployment-oriented Python tooling.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IE2110 Operations Research Graph Optimization</w:t>
      </w:r>
      <w:r>
        <w:tab/>
        <w:t>2024</w:t>
      </w:r>
    </w:p>
    <w:p>
      <w:pPr>
        <w:spacing w:before="0" w:after="20"/>
        <w:ind w:left="259" w:hanging="259"/>
      </w:pPr>
      <w:r>
        <w:t>• Built LP, network-flow, and nonlinear programming models, including a Jupyter SSSP/APSP (Dijkstra) graph optimization for engineering decision support.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CP-SAT, HiGHS linear and quadratic programming, SciPy, hybrid flow-shop scheduling, SimPy, digital-twin simulation, robust optimization, graph optimization, network flow, Dijkstra/SSSP/APSP, decision analytics, statistics, Python, Excel VBA</w:t>
      </w:r>
    </w:p>
    <w:p>
      <w:pPr>
        <w:spacing w:before="0" w:after="20"/>
      </w:pPr>
      <w:r>
        <w:rPr>
          <w:b/>
        </w:rPr>
        <w:t xml:space="preserve">Certifications: </w:t>
      </w:r>
      <w:r>
        <w:t>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