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11-February-2022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Shoprite Checkers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Tatu Connect Limited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080 -  -829-4035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Empty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81865234705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 19327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@VAT_#_052149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#-00094750He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#TAX 0060158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Basic Buffet Catering 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30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54.49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9779.2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2234285.55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486269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