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3M South Africa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Nampak Products Limited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Nampak Products Limited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##085337Py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05/06/2021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637.82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9192.03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637.82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9192.03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637.82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9192.03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637.82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9192.03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637.82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9192.03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646355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5398072.0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646355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Capitec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Nampak Products Limited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7003679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