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Department of Infrastructure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Red Alert TSS (Pty)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Red Alert TSS (Pty)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BILL_0000082056Px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01 N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580.14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3689.4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580.14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3689.4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580.14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3689.4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580.14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3689.4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Business Cards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580.14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3689.4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572558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843843.8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572558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Empty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Red Alert TSS (Pty)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4534976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