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Hastings Insurance Services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Andre Schoombee Attorneys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Andre Schoombee Attorneys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INUMB_97122Ud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29/08/2021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895.42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3007.13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895.42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3007.13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895.42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3007.13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895.42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3007.13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895.42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3007.13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554002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4228653.87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554002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Andre Schoombee Attorneys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859834000370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