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The Services Seta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Norman Wink Stephens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Norman Wink Stephens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#NUMB- 0000048284Dm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20 Oct-2021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552.42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6720.49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552.42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6720.49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552.42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6720.49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552.42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6720.49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USB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552.42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6720.49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800053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4035579.0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800053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Empty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Norman Wink Stephens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406922000370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