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Coega Development Corporation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INVO: 37407Vj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10-Dec-2021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City Of Cape Town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Local Courier Service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294.31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R8248.64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Local Courier Service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294.31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R8248.64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Local Courier Service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294.31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R8248.64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3520977.0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906265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