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SITA SOC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INVO: 021229Yw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06-Apr-2020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Linyana  Somacala Inc.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72.1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R7397.94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72.1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R7397.94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Formal Sit-Down Dinner 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72.1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R7397.94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3025368.29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372910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