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Vulcan Mozambique S.A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BILL_0000042565Lv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15/06/2022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Babcock Ntuthuko Engineering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233.67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R6649.72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233.67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R6649.72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233.67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R6649.72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5681992.3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377551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