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##000016026Jb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##000016026Jb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CORRUSEAL WESTERN CAPE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Foskor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4406 Pilane Street,Soweto,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30/08/2023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298.24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5152.53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298.24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242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5152.53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4527764267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4527764267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7386298.11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470154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470154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