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INV-0096541Le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30/09/23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Nike South Africa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Empty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118450000370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Social Media Graphics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313.05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9410.95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915913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915913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