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Department of Water and Sanitation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065 -  -965-5610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2023-12-04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Caritas Schweiz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Basic Buffet Catering 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Catering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4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183.07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8308.82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827136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