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Enstra Paper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065 -  -950-2919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4DE6A243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BF6B6A">
                  <w:rPr>
                    <w:rStyle w:val="ui-provider"/>
                  </w:rPr>
                  <w:t xml:space="preserve">BILL_TO-0050182Rr</w:t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09 Mar 23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Carlos Gomes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E-commerce Development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IT  Web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7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554.47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8269.46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767689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27996" w14:textId="77777777" w:rsidR="004748FB" w:rsidRDefault="004748FB" w:rsidP="00450C0A">
      <w:pPr>
        <w:spacing w:line="240" w:lineRule="auto"/>
      </w:pPr>
      <w:r>
        <w:separator/>
      </w:r>
    </w:p>
  </w:endnote>
  <w:endnote w:type="continuationSeparator" w:id="0">
    <w:p w14:paraId="24AB6441" w14:textId="77777777" w:rsidR="004748FB" w:rsidRDefault="004748FB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F22E0" w14:textId="77777777" w:rsidR="004748FB" w:rsidRDefault="004748FB" w:rsidP="00450C0A">
      <w:pPr>
        <w:spacing w:line="240" w:lineRule="auto"/>
      </w:pPr>
      <w:r>
        <w:separator/>
      </w:r>
    </w:p>
  </w:footnote>
  <w:footnote w:type="continuationSeparator" w:id="0">
    <w:p w14:paraId="56068069" w14:textId="77777777" w:rsidR="004748FB" w:rsidRDefault="004748FB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1649D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748FB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B7A19"/>
    <w:rsid w:val="00BD7A44"/>
    <w:rsid w:val="00BF6B6A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  <w15:docId w15:val="{025E3332-286D-4B1E-800C-4BF15B5A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31649D"/>
    <w:rsid w:val="00497D97"/>
    <w:rsid w:val="007F5752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Rahdee Salie</cp:lastModifiedBy>
  <cp:revision>2</cp:revision>
  <dcterms:created xsi:type="dcterms:W3CDTF">2024-05-07T09:38:00Z</dcterms:created>
  <dcterms:modified xsi:type="dcterms:W3CDTF">2024-05-14T11:11:00Z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