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Faurecia Emissions Control Technologies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011 -  -867-4593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4DE6A243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BF6B6A">
                  <w:rPr>
                    <w:rStyle w:val="ui-provider"/>
                  </w:rPr>
                  <w:t xml:space="preserve">INV_024188Ho</w:t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May 22, 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Johan Bosch Trust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On-Site Tech Support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4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679.05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9482.65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975547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27996" w14:textId="77777777" w:rsidR="004748FB" w:rsidRDefault="004748FB" w:rsidP="00450C0A">
      <w:pPr>
        <w:spacing w:line="240" w:lineRule="auto"/>
      </w:pPr>
      <w:r>
        <w:separator/>
      </w:r>
    </w:p>
  </w:endnote>
  <w:endnote w:type="continuationSeparator" w:id="0">
    <w:p w14:paraId="24AB6441" w14:textId="77777777" w:rsidR="004748FB" w:rsidRDefault="004748FB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F22E0" w14:textId="77777777" w:rsidR="004748FB" w:rsidRDefault="004748FB" w:rsidP="00450C0A">
      <w:pPr>
        <w:spacing w:line="240" w:lineRule="auto"/>
      </w:pPr>
      <w:r>
        <w:separator/>
      </w:r>
    </w:p>
  </w:footnote>
  <w:footnote w:type="continuationSeparator" w:id="0">
    <w:p w14:paraId="56068069" w14:textId="77777777" w:rsidR="004748FB" w:rsidRDefault="004748FB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1649D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748FB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B7A19"/>
    <w:rsid w:val="00BD7A44"/>
    <w:rsid w:val="00BF6B6A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  <w15:docId w15:val="{025E3332-286D-4B1E-800C-4BF15B5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31649D"/>
    <w:rsid w:val="00497D97"/>
    <w:rsid w:val="007F5752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Rahdee Salie</cp:lastModifiedBy>
  <cp:revision>2</cp:revision>
  <dcterms:created xsi:type="dcterms:W3CDTF">2024-05-07T09:38:00Z</dcterms:created>
  <dcterms:modified xsi:type="dcterms:W3CDTF">2024-05-14T11:11:00Z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