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Coca-Cola Beverages South Africa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INV_020671Va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06/12/2022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Bigen Africa Services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068 -  -919-6790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No-00041972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000020092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TIN0070315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113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Black Pens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250.42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2024.21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9084797.23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687183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Coca-Cola Beverages South Africa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