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Pazozone (Pty) Ltd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INVOICE:065078Km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Jul 03, 23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Old Mutual Life Assurance Company (SA) Ltd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071 -  -815-4382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PON-0000069366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#VAT48874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Tax _Num_0043210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132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A5 Flyers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153.63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4695.29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2334106.0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985570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Pazozone (Pty) Ltd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