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ABB South Africa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Value Logistics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##-98848Sp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55472801350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A5 Flyers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293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8517.0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496425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