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Department of Public Works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Sasol Chemie Gmbh  Co. Kg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##-022687Di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7844439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Logo Design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401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4488.68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209319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