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Gijima Holdings (Pty) Ltd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Cogence (Pty) Limited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#095678Mz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Capitec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127748000370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Asian Fusion Catering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141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7641.84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2976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