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Vulcan Mozambique S.A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Babcock Ntuthuko Engineering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BILL_0000042565Lv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Standard 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9674584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Remote Tech Support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487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6649.72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377551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