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September 28, 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INV000052144Sj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Emfuleni Local Municipality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Blaauwklippen Devco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211.48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5802.59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8224029.2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277458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INV000052144Sj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INV000052144Sj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