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INV_024188Ho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May 22, 2023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Johan Bosch Trust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Faurecia Emissions Control Technologies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8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IT  Web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679.05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9482.65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3235258.46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975547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INV_024188Ho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INV_024188Ho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