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Enstra Paper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BILL_TO-0050182Rr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09 Mar 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065 -  -950-2919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Carlos Gomes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Carlos Gomes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PO#000002267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Carlos Gomes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PO#000002267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E-commerce Development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458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8269.46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8076861.25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767689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